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62" w:firstLineChars="200"/>
        <w:jc w:val="center"/>
        <w:rPr>
          <w:rFonts w:ascii="宋体" w:hAnsi="宋体"/>
          <w:b/>
          <w:color w:val="000000"/>
          <w:sz w:val="28"/>
          <w:szCs w:val="28"/>
        </w:rPr>
      </w:pPr>
      <w:r>
        <w:rPr>
          <w:rFonts w:hint="eastAsia" w:ascii="宋体" w:hAnsi="宋体"/>
          <w:b/>
          <w:color w:val="000000"/>
          <w:sz w:val="28"/>
          <w:szCs w:val="28"/>
        </w:rPr>
        <w:t>资源与环境工程学院</w:t>
      </w:r>
    </w:p>
    <w:p>
      <w:pPr>
        <w:ind w:firstLine="562" w:firstLineChars="200"/>
        <w:jc w:val="center"/>
        <w:rPr>
          <w:rStyle w:val="9"/>
          <w:rFonts w:ascii="宋体" w:hAnsi="宋体"/>
          <w:sz w:val="28"/>
          <w:szCs w:val="28"/>
        </w:rPr>
      </w:pPr>
      <w:r>
        <w:rPr>
          <w:rStyle w:val="9"/>
          <w:rFonts w:hint="eastAsia" w:ascii="宋体" w:hAnsi="宋体"/>
          <w:sz w:val="28"/>
          <w:szCs w:val="28"/>
        </w:rPr>
        <w:t>推荐2022届优秀应届本科毕业生免试攻读硕士学位研究生实施方案</w:t>
      </w:r>
    </w:p>
    <w:p>
      <w:pPr>
        <w:widowControl/>
        <w:spacing w:line="440" w:lineRule="exact"/>
        <w:ind w:firstLine="460" w:firstLineChars="192"/>
        <w:jc w:val="left"/>
        <w:rPr>
          <w:rFonts w:ascii="宋体" w:hAnsi="宋体" w:cs="宋体"/>
          <w:kern w:val="0"/>
          <w:sz w:val="24"/>
        </w:rPr>
      </w:pPr>
      <w:r>
        <w:rPr>
          <w:rFonts w:ascii="宋体" w:hAnsi="宋体" w:cs="宋体"/>
          <w:kern w:val="0"/>
          <w:sz w:val="24"/>
        </w:rPr>
        <w:t>根据教育部</w:t>
      </w:r>
      <w:r>
        <w:rPr>
          <w:rFonts w:hint="eastAsia" w:ascii="宋体" w:hAnsi="宋体" w:cs="宋体"/>
          <w:kern w:val="0"/>
          <w:sz w:val="24"/>
        </w:rPr>
        <w:t>《全国普通高等学校推荐优秀应届本科毕业生免试攻读硕士学位研究生工作管理办法（试行）》（教学〔2006〕14号）、《教育部办公厅关于进一步加强推荐优秀应届本科毕业生免试攻读硕士学位研究生工作管理办法》、《教育部办公厅关于进一步完善推荐优秀应届本科毕业生免试攻读硕士学位研究生工作办法的通知》、《武汉科技大学关于推荐优秀本科毕业生免试攻读硕士学位研究生管理办法（试行）》（教学〔</w:t>
      </w:r>
      <w:r>
        <w:rPr>
          <w:rFonts w:ascii="宋体" w:hAnsi="宋体" w:cs="宋体"/>
          <w:kern w:val="0"/>
          <w:sz w:val="24"/>
        </w:rPr>
        <w:t>20</w:t>
      </w:r>
      <w:r>
        <w:rPr>
          <w:rFonts w:hint="eastAsia" w:ascii="宋体" w:hAnsi="宋体" w:cs="宋体"/>
          <w:kern w:val="0"/>
          <w:sz w:val="24"/>
        </w:rPr>
        <w:t>21</w:t>
      </w:r>
      <w:r>
        <w:rPr>
          <w:rFonts w:ascii="宋体" w:hAnsi="宋体" w:cs="宋体"/>
          <w:kern w:val="0"/>
          <w:sz w:val="24"/>
        </w:rPr>
        <w:t>〕</w:t>
      </w:r>
      <w:r>
        <w:rPr>
          <w:rFonts w:hint="eastAsia" w:ascii="宋体" w:hAnsi="宋体" w:cs="宋体"/>
          <w:kern w:val="0"/>
          <w:sz w:val="24"/>
        </w:rPr>
        <w:t>31</w:t>
      </w:r>
      <w:r>
        <w:rPr>
          <w:rFonts w:ascii="宋体" w:hAnsi="宋体" w:cs="宋体"/>
          <w:kern w:val="0"/>
          <w:sz w:val="24"/>
        </w:rPr>
        <w:t>号</w:t>
      </w:r>
      <w:r>
        <w:rPr>
          <w:rFonts w:hint="eastAsia" w:ascii="宋体" w:hAnsi="宋体" w:cs="宋体"/>
          <w:kern w:val="0"/>
          <w:sz w:val="24"/>
        </w:rPr>
        <w:t>）等文件</w:t>
      </w:r>
      <w:r>
        <w:rPr>
          <w:rFonts w:ascii="宋体" w:hAnsi="宋体" w:cs="宋体"/>
          <w:kern w:val="0"/>
          <w:sz w:val="24"/>
        </w:rPr>
        <w:t>精神，为切实做好我校推荐优秀本科生免试攻读硕士研究生（以下简称</w:t>
      </w:r>
      <w:r>
        <w:rPr>
          <w:rFonts w:hint="eastAsia" w:ascii="宋体" w:hAnsi="宋体" w:cs="宋体"/>
          <w:kern w:val="0"/>
          <w:sz w:val="24"/>
        </w:rPr>
        <w:t>“</w:t>
      </w:r>
      <w:r>
        <w:rPr>
          <w:rFonts w:ascii="宋体" w:hAnsi="宋体" w:cs="宋体"/>
          <w:kern w:val="0"/>
          <w:sz w:val="24"/>
        </w:rPr>
        <w:t>推免生</w:t>
      </w:r>
      <w:r>
        <w:rPr>
          <w:rFonts w:hint="eastAsia" w:ascii="宋体" w:hAnsi="宋体" w:cs="宋体"/>
          <w:kern w:val="0"/>
          <w:sz w:val="24"/>
        </w:rPr>
        <w:t>”</w:t>
      </w:r>
      <w:r>
        <w:rPr>
          <w:rFonts w:ascii="宋体" w:hAnsi="宋体" w:cs="宋体"/>
          <w:kern w:val="0"/>
          <w:sz w:val="24"/>
        </w:rPr>
        <w:t>）工作，</w:t>
      </w:r>
      <w:r>
        <w:rPr>
          <w:rFonts w:hint="eastAsia" w:ascii="宋体" w:hAnsi="宋体" w:cs="宋体"/>
          <w:kern w:val="0"/>
          <w:sz w:val="24"/>
        </w:rPr>
        <w:t>确保推免工作公平、公开、公正，现就我院2022届本科毕业生推免有关工作通知如下：</w:t>
      </w:r>
    </w:p>
    <w:p>
      <w:pPr>
        <w:widowControl/>
        <w:spacing w:line="440" w:lineRule="exact"/>
        <w:ind w:firstLine="482" w:firstLineChars="200"/>
        <w:jc w:val="left"/>
        <w:rPr>
          <w:rFonts w:ascii="宋体" w:hAnsi="宋体" w:cs="宋体"/>
          <w:b/>
          <w:bCs/>
          <w:kern w:val="0"/>
          <w:sz w:val="24"/>
        </w:rPr>
      </w:pPr>
      <w:r>
        <w:rPr>
          <w:rFonts w:ascii="宋体" w:hAnsi="宋体" w:cs="宋体"/>
          <w:b/>
          <w:bCs/>
          <w:kern w:val="0"/>
          <w:sz w:val="24"/>
        </w:rPr>
        <w:t>一、推免生名额分配</w:t>
      </w:r>
    </w:p>
    <w:p>
      <w:pPr>
        <w:widowControl/>
        <w:spacing w:line="440" w:lineRule="exact"/>
        <w:ind w:firstLine="480" w:firstLineChars="200"/>
        <w:jc w:val="left"/>
        <w:rPr>
          <w:rFonts w:ascii="宋体" w:hAnsi="宋体" w:cs="宋体"/>
          <w:kern w:val="0"/>
          <w:sz w:val="24"/>
        </w:rPr>
      </w:pPr>
      <w:r>
        <w:rPr>
          <w:rFonts w:hint="eastAsia" w:ascii="宋体" w:hAnsi="宋体" w:cs="宋体"/>
          <w:kern w:val="0"/>
          <w:sz w:val="24"/>
        </w:rPr>
        <w:t>资源与环境工程学院推免生</w:t>
      </w:r>
      <w:r>
        <w:rPr>
          <w:rFonts w:ascii="宋体" w:hAnsi="宋体" w:cs="宋体"/>
          <w:kern w:val="0"/>
          <w:sz w:val="24"/>
        </w:rPr>
        <w:t>总额</w:t>
      </w:r>
      <w:r>
        <w:rPr>
          <w:rFonts w:hint="eastAsia" w:ascii="宋体" w:hAnsi="宋体" w:cs="宋体"/>
          <w:kern w:val="0"/>
          <w:sz w:val="24"/>
        </w:rPr>
        <w:t>25名，其中包含“拔尖人才培育计划”。名额分配依据人才培养、学科建设与发展以及“拔尖人才培育计划”执行情况等因素综合确定。</w:t>
      </w:r>
    </w:p>
    <w:tbl>
      <w:tblPr>
        <w:tblStyle w:val="6"/>
        <w:tblpPr w:leftFromText="180" w:rightFromText="180" w:vertAnchor="text" w:horzAnchor="page" w:tblpXSpec="center" w:tblpY="303"/>
        <w:tblOverlap w:val="never"/>
        <w:tblW w:w="8130" w:type="dxa"/>
        <w:jc w:val="center"/>
        <w:tblLayout w:type="fixed"/>
        <w:tblCellMar>
          <w:top w:w="0" w:type="dxa"/>
          <w:left w:w="0" w:type="dxa"/>
          <w:bottom w:w="0" w:type="dxa"/>
          <w:right w:w="0" w:type="dxa"/>
        </w:tblCellMar>
      </w:tblPr>
      <w:tblGrid>
        <w:gridCol w:w="2910"/>
        <w:gridCol w:w="2659"/>
        <w:gridCol w:w="2561"/>
      </w:tblGrid>
      <w:tr>
        <w:tblPrEx>
          <w:tblCellMar>
            <w:top w:w="0" w:type="dxa"/>
            <w:left w:w="0" w:type="dxa"/>
            <w:bottom w:w="0" w:type="dxa"/>
            <w:right w:w="0" w:type="dxa"/>
          </w:tblCellMar>
        </w:tblPrEx>
        <w:trPr>
          <w:trHeight w:val="535" w:hRule="atLeast"/>
          <w:jc w:val="center"/>
        </w:trPr>
        <w:tc>
          <w:tcPr>
            <w:tcW w:w="291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专业</w:t>
            </w:r>
          </w:p>
        </w:tc>
        <w:tc>
          <w:tcPr>
            <w:tcW w:w="26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b/>
                <w:color w:val="000000"/>
                <w:sz w:val="24"/>
              </w:rPr>
            </w:pPr>
            <w:r>
              <w:rPr>
                <w:rFonts w:hint="eastAsia" w:ascii="宋体" w:hAnsi="宋体" w:cs="宋体"/>
                <w:b/>
                <w:color w:val="000000"/>
                <w:kern w:val="0"/>
                <w:sz w:val="24"/>
              </w:rPr>
              <w:t>“拔尖人才培育计划”</w:t>
            </w:r>
          </w:p>
        </w:tc>
        <w:tc>
          <w:tcPr>
            <w:tcW w:w="256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其他推免生名额</w:t>
            </w:r>
          </w:p>
        </w:tc>
      </w:tr>
      <w:tr>
        <w:tblPrEx>
          <w:tblCellMar>
            <w:top w:w="0" w:type="dxa"/>
            <w:left w:w="0" w:type="dxa"/>
            <w:bottom w:w="0" w:type="dxa"/>
            <w:right w:w="0" w:type="dxa"/>
          </w:tblCellMar>
        </w:tblPrEx>
        <w:trPr>
          <w:trHeight w:val="285" w:hRule="atLeast"/>
          <w:jc w:val="center"/>
        </w:trPr>
        <w:tc>
          <w:tcPr>
            <w:tcW w:w="29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安全工程</w:t>
            </w:r>
          </w:p>
        </w:tc>
        <w:tc>
          <w:tcPr>
            <w:tcW w:w="26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kern w:val="0"/>
                <w:sz w:val="24"/>
              </w:rPr>
              <w:t>3</w:t>
            </w:r>
          </w:p>
        </w:tc>
        <w:tc>
          <w:tcPr>
            <w:tcW w:w="256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kern w:val="0"/>
                <w:sz w:val="24"/>
              </w:rPr>
            </w:pPr>
            <w:r>
              <w:rPr>
                <w:rFonts w:hint="eastAsia" w:ascii="宋体" w:hAnsi="宋体" w:cs="宋体"/>
                <w:kern w:val="0"/>
                <w:sz w:val="24"/>
              </w:rPr>
              <w:t>2</w:t>
            </w:r>
          </w:p>
        </w:tc>
      </w:tr>
      <w:tr>
        <w:tblPrEx>
          <w:tblCellMar>
            <w:top w:w="0" w:type="dxa"/>
            <w:left w:w="0" w:type="dxa"/>
            <w:bottom w:w="0" w:type="dxa"/>
            <w:right w:w="0" w:type="dxa"/>
          </w:tblCellMar>
        </w:tblPrEx>
        <w:trPr>
          <w:trHeight w:val="285" w:hRule="atLeast"/>
          <w:jc w:val="center"/>
        </w:trPr>
        <w:tc>
          <w:tcPr>
            <w:tcW w:w="29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采矿工程</w:t>
            </w:r>
          </w:p>
        </w:tc>
        <w:tc>
          <w:tcPr>
            <w:tcW w:w="26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4</w:t>
            </w:r>
          </w:p>
        </w:tc>
        <w:tc>
          <w:tcPr>
            <w:tcW w:w="256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1</w:t>
            </w:r>
          </w:p>
        </w:tc>
      </w:tr>
      <w:tr>
        <w:tblPrEx>
          <w:tblCellMar>
            <w:top w:w="0" w:type="dxa"/>
            <w:left w:w="0" w:type="dxa"/>
            <w:bottom w:w="0" w:type="dxa"/>
            <w:right w:w="0" w:type="dxa"/>
          </w:tblCellMar>
        </w:tblPrEx>
        <w:trPr>
          <w:trHeight w:val="285" w:hRule="atLeast"/>
          <w:jc w:val="center"/>
        </w:trPr>
        <w:tc>
          <w:tcPr>
            <w:tcW w:w="29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矿物加工工程</w:t>
            </w:r>
          </w:p>
        </w:tc>
        <w:tc>
          <w:tcPr>
            <w:tcW w:w="26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1</w:t>
            </w:r>
          </w:p>
        </w:tc>
        <w:tc>
          <w:tcPr>
            <w:tcW w:w="256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1</w:t>
            </w:r>
          </w:p>
        </w:tc>
      </w:tr>
      <w:tr>
        <w:tblPrEx>
          <w:tblCellMar>
            <w:top w:w="0" w:type="dxa"/>
            <w:left w:w="0" w:type="dxa"/>
            <w:bottom w:w="0" w:type="dxa"/>
            <w:right w:w="0" w:type="dxa"/>
          </w:tblCellMar>
        </w:tblPrEx>
        <w:trPr>
          <w:trHeight w:val="285" w:hRule="atLeast"/>
          <w:jc w:val="center"/>
        </w:trPr>
        <w:tc>
          <w:tcPr>
            <w:tcW w:w="29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矿物加工工程（卓越计划）</w:t>
            </w:r>
          </w:p>
        </w:tc>
        <w:tc>
          <w:tcPr>
            <w:tcW w:w="26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kern w:val="0"/>
                <w:sz w:val="24"/>
              </w:rPr>
              <w:t>1</w:t>
            </w:r>
          </w:p>
        </w:tc>
        <w:tc>
          <w:tcPr>
            <w:tcW w:w="256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kern w:val="0"/>
                <w:sz w:val="24"/>
              </w:rPr>
            </w:pPr>
            <w:r>
              <w:rPr>
                <w:rFonts w:hint="eastAsia" w:ascii="宋体" w:hAnsi="宋体" w:cs="宋体"/>
                <w:kern w:val="0"/>
                <w:sz w:val="24"/>
              </w:rPr>
              <w:t>1</w:t>
            </w:r>
          </w:p>
        </w:tc>
      </w:tr>
      <w:tr>
        <w:tblPrEx>
          <w:tblCellMar>
            <w:top w:w="0" w:type="dxa"/>
            <w:left w:w="0" w:type="dxa"/>
            <w:bottom w:w="0" w:type="dxa"/>
            <w:right w:w="0" w:type="dxa"/>
          </w:tblCellMar>
        </w:tblPrEx>
        <w:trPr>
          <w:trHeight w:val="285" w:hRule="atLeast"/>
          <w:jc w:val="center"/>
        </w:trPr>
        <w:tc>
          <w:tcPr>
            <w:tcW w:w="29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环境工程</w:t>
            </w:r>
          </w:p>
        </w:tc>
        <w:tc>
          <w:tcPr>
            <w:tcW w:w="26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kern w:val="0"/>
                <w:sz w:val="24"/>
              </w:rPr>
              <w:t>1</w:t>
            </w:r>
          </w:p>
        </w:tc>
        <w:tc>
          <w:tcPr>
            <w:tcW w:w="256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kern w:val="0"/>
                <w:sz w:val="24"/>
              </w:rPr>
            </w:pPr>
            <w:r>
              <w:rPr>
                <w:rFonts w:hint="eastAsia" w:ascii="宋体" w:hAnsi="宋体" w:cs="宋体"/>
                <w:kern w:val="0"/>
                <w:sz w:val="24"/>
              </w:rPr>
              <w:t>3</w:t>
            </w:r>
          </w:p>
        </w:tc>
      </w:tr>
      <w:tr>
        <w:tblPrEx>
          <w:tblCellMar>
            <w:top w:w="0" w:type="dxa"/>
            <w:left w:w="0" w:type="dxa"/>
            <w:bottom w:w="0" w:type="dxa"/>
            <w:right w:w="0" w:type="dxa"/>
          </w:tblCellMar>
        </w:tblPrEx>
        <w:trPr>
          <w:trHeight w:val="285" w:hRule="atLeast"/>
          <w:jc w:val="center"/>
        </w:trPr>
        <w:tc>
          <w:tcPr>
            <w:tcW w:w="29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人文地理与城乡规划</w:t>
            </w:r>
          </w:p>
        </w:tc>
        <w:tc>
          <w:tcPr>
            <w:tcW w:w="26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sz w:val="24"/>
              </w:rPr>
            </w:pPr>
            <w:r>
              <w:rPr>
                <w:rFonts w:hint="eastAsia" w:ascii="宋体" w:hAnsi="宋体" w:cs="宋体"/>
                <w:sz w:val="24"/>
              </w:rPr>
              <w:t>6</w:t>
            </w:r>
          </w:p>
        </w:tc>
        <w:tc>
          <w:tcPr>
            <w:tcW w:w="256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kern w:val="0"/>
                <w:sz w:val="24"/>
              </w:rPr>
            </w:pPr>
            <w:r>
              <w:rPr>
                <w:rFonts w:hint="eastAsia" w:ascii="宋体" w:hAnsi="宋体" w:cs="宋体"/>
                <w:kern w:val="0"/>
                <w:sz w:val="24"/>
              </w:rPr>
              <w:t>1</w:t>
            </w:r>
          </w:p>
        </w:tc>
      </w:tr>
      <w:tr>
        <w:tblPrEx>
          <w:tblCellMar>
            <w:top w:w="0" w:type="dxa"/>
            <w:left w:w="0" w:type="dxa"/>
            <w:bottom w:w="0" w:type="dxa"/>
            <w:right w:w="0" w:type="dxa"/>
          </w:tblCellMar>
        </w:tblPrEx>
        <w:trPr>
          <w:trHeight w:val="285" w:hRule="atLeast"/>
          <w:jc w:val="center"/>
        </w:trPr>
        <w:tc>
          <w:tcPr>
            <w:tcW w:w="291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sz w:val="24"/>
              </w:rPr>
              <w:t>合计</w:t>
            </w:r>
          </w:p>
        </w:tc>
        <w:tc>
          <w:tcPr>
            <w:tcW w:w="2659"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b/>
                <w:color w:val="000000"/>
                <w:sz w:val="24"/>
              </w:rPr>
            </w:pPr>
            <w:r>
              <w:rPr>
                <w:rFonts w:hint="eastAsia" w:ascii="宋体" w:hAnsi="宋体" w:cs="宋体"/>
                <w:b/>
                <w:color w:val="000000"/>
                <w:kern w:val="0"/>
                <w:sz w:val="24"/>
              </w:rPr>
              <w:t>16</w:t>
            </w:r>
          </w:p>
        </w:tc>
        <w:tc>
          <w:tcPr>
            <w:tcW w:w="256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hAnsi="宋体" w:cs="宋体"/>
                <w:b/>
                <w:color w:val="000000"/>
                <w:kern w:val="0"/>
                <w:sz w:val="24"/>
              </w:rPr>
            </w:pPr>
            <w:r>
              <w:rPr>
                <w:rFonts w:hint="eastAsia" w:ascii="宋体" w:hAnsi="宋体" w:cs="宋体"/>
                <w:b/>
                <w:color w:val="000000"/>
                <w:kern w:val="0"/>
                <w:sz w:val="24"/>
              </w:rPr>
              <w:t>9</w:t>
            </w:r>
          </w:p>
        </w:tc>
      </w:tr>
    </w:tbl>
    <w:p>
      <w:pPr>
        <w:widowControl/>
        <w:spacing w:line="440" w:lineRule="exact"/>
        <w:ind w:firstLine="463" w:firstLineChars="192"/>
        <w:jc w:val="left"/>
        <w:rPr>
          <w:rFonts w:ascii="宋体" w:hAnsi="宋体" w:cs="宋体"/>
          <w:b/>
          <w:bCs/>
          <w:kern w:val="0"/>
          <w:sz w:val="24"/>
        </w:rPr>
      </w:pPr>
    </w:p>
    <w:p>
      <w:pPr>
        <w:widowControl/>
        <w:spacing w:line="440" w:lineRule="exact"/>
        <w:ind w:firstLine="463" w:firstLineChars="192"/>
        <w:jc w:val="left"/>
        <w:rPr>
          <w:rFonts w:ascii="宋体" w:hAnsi="宋体" w:cs="宋体"/>
          <w:b/>
          <w:bCs/>
          <w:kern w:val="0"/>
          <w:sz w:val="24"/>
        </w:rPr>
      </w:pPr>
    </w:p>
    <w:p>
      <w:pPr>
        <w:widowControl/>
        <w:spacing w:line="440" w:lineRule="exact"/>
        <w:ind w:firstLine="463" w:firstLineChars="192"/>
        <w:jc w:val="left"/>
        <w:rPr>
          <w:rFonts w:ascii="宋体" w:hAnsi="宋体" w:cs="宋体"/>
          <w:b/>
          <w:bCs/>
          <w:kern w:val="0"/>
          <w:sz w:val="24"/>
        </w:rPr>
      </w:pPr>
    </w:p>
    <w:p>
      <w:pPr>
        <w:widowControl/>
        <w:spacing w:line="440" w:lineRule="exact"/>
        <w:ind w:firstLine="463" w:firstLineChars="192"/>
        <w:jc w:val="left"/>
        <w:rPr>
          <w:rFonts w:ascii="宋体" w:hAnsi="宋体" w:cs="宋体"/>
          <w:b/>
          <w:bCs/>
          <w:kern w:val="0"/>
          <w:sz w:val="24"/>
        </w:rPr>
      </w:pPr>
    </w:p>
    <w:p>
      <w:pPr>
        <w:widowControl/>
        <w:spacing w:line="440" w:lineRule="exact"/>
        <w:ind w:firstLine="463" w:firstLineChars="192"/>
        <w:jc w:val="left"/>
        <w:rPr>
          <w:rFonts w:ascii="宋体" w:hAnsi="宋体" w:cs="宋体"/>
          <w:b/>
          <w:bCs/>
          <w:kern w:val="0"/>
          <w:sz w:val="24"/>
        </w:rPr>
      </w:pPr>
    </w:p>
    <w:p>
      <w:pPr>
        <w:widowControl/>
        <w:spacing w:line="440" w:lineRule="exact"/>
        <w:ind w:firstLine="463" w:firstLineChars="192"/>
        <w:jc w:val="left"/>
        <w:rPr>
          <w:rFonts w:ascii="宋体" w:hAnsi="宋体" w:cs="宋体"/>
          <w:b/>
          <w:bCs/>
          <w:kern w:val="0"/>
          <w:sz w:val="24"/>
        </w:rPr>
      </w:pPr>
    </w:p>
    <w:p>
      <w:pPr>
        <w:widowControl/>
        <w:spacing w:line="440" w:lineRule="exact"/>
        <w:ind w:firstLine="463" w:firstLineChars="192"/>
        <w:jc w:val="left"/>
        <w:rPr>
          <w:rFonts w:ascii="宋体" w:hAnsi="宋体" w:cs="宋体"/>
          <w:b/>
          <w:bCs/>
          <w:kern w:val="0"/>
          <w:sz w:val="24"/>
        </w:rPr>
      </w:pPr>
    </w:p>
    <w:p>
      <w:pPr>
        <w:widowControl/>
        <w:spacing w:line="440" w:lineRule="exact"/>
        <w:ind w:firstLine="463" w:firstLineChars="192"/>
        <w:jc w:val="left"/>
        <w:rPr>
          <w:rFonts w:ascii="宋体" w:hAnsi="宋体" w:cs="宋体"/>
          <w:b/>
          <w:bCs/>
          <w:kern w:val="0"/>
          <w:sz w:val="24"/>
        </w:rPr>
      </w:pPr>
    </w:p>
    <w:p>
      <w:pPr>
        <w:widowControl/>
        <w:spacing w:line="440" w:lineRule="exact"/>
        <w:ind w:firstLine="482" w:firstLineChars="200"/>
        <w:jc w:val="left"/>
        <w:rPr>
          <w:rFonts w:ascii="宋体" w:hAnsi="宋体" w:cs="宋体"/>
          <w:b/>
          <w:bCs/>
          <w:kern w:val="0"/>
          <w:sz w:val="24"/>
        </w:rPr>
      </w:pPr>
      <w:r>
        <w:rPr>
          <w:rFonts w:hint="eastAsia" w:ascii="宋体" w:hAnsi="宋体" w:cs="宋体"/>
          <w:b/>
          <w:bCs/>
          <w:kern w:val="0"/>
          <w:sz w:val="24"/>
        </w:rPr>
        <w:t xml:space="preserve">二、推免生基本条件 </w:t>
      </w:r>
    </w:p>
    <w:p>
      <w:pPr>
        <w:widowControl/>
        <w:spacing w:line="440" w:lineRule="exact"/>
        <w:jc w:val="left"/>
        <w:rPr>
          <w:rFonts w:ascii="宋体" w:hAnsi="宋体" w:cs="宋体"/>
          <w:kern w:val="0"/>
          <w:sz w:val="24"/>
        </w:rPr>
      </w:pPr>
      <w:r>
        <w:rPr>
          <w:rFonts w:hint="eastAsia" w:ascii="宋体" w:hAnsi="宋体" w:cs="宋体"/>
          <w:kern w:val="0"/>
          <w:sz w:val="24"/>
        </w:rPr>
        <w:t xml:space="preserve">    (一) 坚持四项基本原则，拥护党的领导，具有高尚的爱国主义情操和集体主义精神，理想信念坚定，社会责任感强，遵纪守法，品行端正，诚实守信，无学术不端行为，在校期间未受过任何处分。</w:t>
      </w:r>
    </w:p>
    <w:p>
      <w:pPr>
        <w:widowControl/>
        <w:spacing w:line="440" w:lineRule="exact"/>
        <w:ind w:firstLine="480" w:firstLineChars="200"/>
        <w:jc w:val="left"/>
        <w:rPr>
          <w:rFonts w:ascii="宋体" w:hAnsi="宋体" w:cs="宋体"/>
          <w:kern w:val="0"/>
          <w:sz w:val="24"/>
        </w:rPr>
      </w:pPr>
      <w:r>
        <w:rPr>
          <w:rFonts w:hint="eastAsia" w:ascii="宋体" w:hAnsi="宋体" w:cs="宋体"/>
          <w:kern w:val="0"/>
          <w:sz w:val="24"/>
        </w:rPr>
        <w:t>(二)  勤奋学习，刻苦钻研，基础知识扎实，在校期间本专业所有课程考核成绩必须合格，且平均学分绩点在</w:t>
      </w:r>
      <w:r>
        <w:rPr>
          <w:rFonts w:ascii="宋体" w:hAnsi="宋体" w:cs="宋体"/>
          <w:kern w:val="0"/>
          <w:sz w:val="24"/>
        </w:rPr>
        <w:t>3.0</w:t>
      </w:r>
      <w:r>
        <w:rPr>
          <w:rFonts w:hint="eastAsia" w:ascii="宋体" w:hAnsi="宋体" w:cs="宋体"/>
          <w:kern w:val="0"/>
          <w:sz w:val="24"/>
        </w:rPr>
        <w:t>及以上，全国大学英语四级考试成绩达到</w:t>
      </w:r>
      <w:r>
        <w:rPr>
          <w:rFonts w:ascii="宋体" w:hAnsi="宋体" w:cs="宋体"/>
          <w:kern w:val="0"/>
          <w:sz w:val="24"/>
        </w:rPr>
        <w:t>450</w:t>
      </w:r>
      <w:r>
        <w:rPr>
          <w:rFonts w:hint="eastAsia" w:ascii="宋体" w:hAnsi="宋体" w:cs="宋体"/>
          <w:kern w:val="0"/>
          <w:sz w:val="24"/>
        </w:rPr>
        <w:t>分或全国大学英语六级考试成绩达到</w:t>
      </w:r>
      <w:r>
        <w:rPr>
          <w:rFonts w:ascii="宋体" w:hAnsi="宋体" w:cs="宋体"/>
          <w:kern w:val="0"/>
          <w:sz w:val="24"/>
        </w:rPr>
        <w:t>425</w:t>
      </w:r>
      <w:r>
        <w:rPr>
          <w:rFonts w:hint="eastAsia" w:ascii="宋体" w:hAnsi="宋体" w:cs="宋体"/>
          <w:kern w:val="0"/>
          <w:sz w:val="24"/>
        </w:rPr>
        <w:t>分</w:t>
      </w:r>
      <w:r>
        <w:rPr>
          <w:rFonts w:ascii="宋体" w:hAnsi="宋体" w:cs="宋体"/>
          <w:kern w:val="0"/>
          <w:sz w:val="24"/>
        </w:rPr>
        <w:t>。</w:t>
      </w:r>
    </w:p>
    <w:p>
      <w:pPr>
        <w:widowControl/>
        <w:spacing w:line="440" w:lineRule="exact"/>
        <w:jc w:val="left"/>
        <w:rPr>
          <w:rFonts w:ascii="宋体" w:hAnsi="宋体" w:cs="宋体"/>
          <w:kern w:val="0"/>
          <w:sz w:val="24"/>
        </w:rPr>
      </w:pPr>
      <w:r>
        <w:rPr>
          <w:rFonts w:hint="eastAsia" w:ascii="宋体" w:hAnsi="宋体" w:cs="宋体"/>
          <w:kern w:val="0"/>
          <w:sz w:val="24"/>
        </w:rPr>
        <w:t xml:space="preserve">    (三) </w:t>
      </w:r>
      <w:r>
        <w:rPr>
          <w:rFonts w:ascii="宋体" w:hAnsi="宋体" w:cs="宋体"/>
          <w:kern w:val="0"/>
          <w:sz w:val="24"/>
        </w:rPr>
        <w:t>身体健康。</w:t>
      </w:r>
    </w:p>
    <w:p>
      <w:pPr>
        <w:widowControl/>
        <w:spacing w:line="440" w:lineRule="exact"/>
        <w:ind w:firstLine="482" w:firstLineChars="200"/>
        <w:jc w:val="left"/>
        <w:rPr>
          <w:rFonts w:ascii="宋体" w:hAnsi="宋体" w:cs="宋体"/>
          <w:b/>
          <w:kern w:val="0"/>
          <w:sz w:val="24"/>
        </w:rPr>
      </w:pPr>
      <w:r>
        <w:rPr>
          <w:rFonts w:hint="eastAsia" w:ascii="宋体" w:hAnsi="宋体" w:cs="宋体"/>
          <w:b/>
          <w:kern w:val="0"/>
          <w:sz w:val="24"/>
        </w:rPr>
        <w:t xml:space="preserve">三、推免工作程序 </w:t>
      </w:r>
    </w:p>
    <w:p>
      <w:pPr>
        <w:widowControl/>
        <w:spacing w:line="440" w:lineRule="exact"/>
        <w:ind w:firstLine="480" w:firstLineChars="200"/>
        <w:jc w:val="left"/>
        <w:rPr>
          <w:rFonts w:ascii="宋体" w:hAnsi="宋体" w:cs="宋体"/>
          <w:kern w:val="0"/>
          <w:sz w:val="24"/>
        </w:rPr>
      </w:pPr>
      <w:r>
        <w:rPr>
          <w:rFonts w:hint="eastAsia" w:ascii="宋体" w:hAnsi="宋体" w:cs="宋体"/>
          <w:kern w:val="0"/>
          <w:sz w:val="24"/>
        </w:rPr>
        <w:t>(一)</w:t>
      </w:r>
      <w:r>
        <w:rPr>
          <w:rFonts w:ascii="宋体" w:hAnsi="宋体" w:cs="宋体"/>
          <w:kern w:val="0"/>
          <w:sz w:val="24"/>
        </w:rPr>
        <w:t xml:space="preserve"> 学院成立推免工作领导小组，负责学院的推免工作。</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 xml:space="preserve">(二) </w:t>
      </w:r>
      <w:r>
        <w:rPr>
          <w:rFonts w:ascii="宋体" w:hAnsi="宋体" w:cs="宋体"/>
          <w:kern w:val="0"/>
          <w:sz w:val="24"/>
        </w:rPr>
        <w:t>学生本人</w:t>
      </w:r>
      <w:r>
        <w:rPr>
          <w:rFonts w:hint="eastAsia" w:ascii="宋体" w:hAnsi="宋体" w:cs="宋体"/>
          <w:kern w:val="0"/>
          <w:sz w:val="24"/>
        </w:rPr>
        <w:t>提出</w:t>
      </w:r>
      <w:r>
        <w:rPr>
          <w:rFonts w:ascii="宋体" w:hAnsi="宋体" w:cs="宋体"/>
          <w:kern w:val="0"/>
          <w:sz w:val="24"/>
        </w:rPr>
        <w:t>申请</w:t>
      </w:r>
      <w:r>
        <w:rPr>
          <w:rFonts w:hint="eastAsia" w:ascii="宋体" w:hAnsi="宋体" w:cs="宋体"/>
          <w:kern w:val="0"/>
          <w:sz w:val="24"/>
        </w:rPr>
        <w:t>，</w:t>
      </w:r>
      <w:r>
        <w:rPr>
          <w:rFonts w:ascii="宋体" w:hAnsi="宋体" w:cs="宋体"/>
          <w:kern w:val="0"/>
          <w:sz w:val="24"/>
        </w:rPr>
        <w:t>填写《</w:t>
      </w:r>
      <w:r>
        <w:rPr>
          <w:rFonts w:hint="eastAsia" w:ascii="宋体" w:hAnsi="宋体" w:cs="宋体"/>
          <w:kern w:val="0"/>
          <w:sz w:val="24"/>
        </w:rPr>
        <w:t>武汉科技大学优秀本科毕业生免试攻读硕士研究生申请表</w:t>
      </w:r>
      <w:r>
        <w:rPr>
          <w:rFonts w:ascii="宋体" w:hAnsi="宋体" w:cs="宋体"/>
          <w:kern w:val="0"/>
          <w:sz w:val="24"/>
        </w:rPr>
        <w:t>》</w:t>
      </w:r>
      <w:r>
        <w:rPr>
          <w:rFonts w:hint="eastAsia" w:ascii="宋体" w:hAnsi="宋体" w:cs="宋体"/>
          <w:kern w:val="0"/>
          <w:sz w:val="24"/>
        </w:rPr>
        <w:t>并交所在学院，同时</w:t>
      </w:r>
      <w:r>
        <w:rPr>
          <w:rFonts w:ascii="宋体" w:hAnsi="宋体" w:cs="宋体"/>
          <w:kern w:val="0"/>
          <w:sz w:val="24"/>
        </w:rPr>
        <w:t>提交</w:t>
      </w:r>
      <w:r>
        <w:rPr>
          <w:rFonts w:hint="eastAsia" w:ascii="宋体" w:hAnsi="宋体" w:cs="宋体"/>
          <w:kern w:val="0"/>
          <w:sz w:val="24"/>
        </w:rPr>
        <w:t>专业成绩单、英语等级证书及相关科研成果、竞赛奖励的</w:t>
      </w:r>
      <w:r>
        <w:rPr>
          <w:rFonts w:ascii="宋体" w:hAnsi="宋体" w:cs="宋体"/>
          <w:kern w:val="0"/>
          <w:sz w:val="24"/>
        </w:rPr>
        <w:t>原件和复印件</w:t>
      </w:r>
      <w:r>
        <w:rPr>
          <w:rFonts w:hint="eastAsia" w:ascii="宋体" w:hAnsi="宋体" w:cs="宋体"/>
          <w:kern w:val="0"/>
          <w:sz w:val="24"/>
        </w:rPr>
        <w:t>等支撑</w:t>
      </w:r>
      <w:r>
        <w:rPr>
          <w:rFonts w:ascii="宋体" w:hAnsi="宋体" w:cs="宋体"/>
          <w:kern w:val="0"/>
          <w:sz w:val="24"/>
        </w:rPr>
        <w:t>材料。</w:t>
      </w:r>
    </w:p>
    <w:p>
      <w:pPr>
        <w:widowControl/>
        <w:spacing w:line="360" w:lineRule="auto"/>
        <w:ind w:firstLine="420" w:firstLineChars="175"/>
        <w:jc w:val="left"/>
        <w:rPr>
          <w:rFonts w:ascii="宋体" w:hAnsi="宋体" w:cs="宋体"/>
          <w:kern w:val="0"/>
          <w:sz w:val="24"/>
        </w:rPr>
      </w:pPr>
      <w:r>
        <w:rPr>
          <w:rFonts w:hint="eastAsia" w:ascii="宋体" w:hAnsi="宋体" w:cs="宋体"/>
          <w:kern w:val="0"/>
          <w:sz w:val="24"/>
        </w:rPr>
        <w:t xml:space="preserve"> (三) 学</w:t>
      </w:r>
      <w:r>
        <w:rPr>
          <w:rFonts w:ascii="宋体" w:hAnsi="宋体" w:cs="宋体"/>
          <w:kern w:val="0"/>
          <w:sz w:val="24"/>
        </w:rPr>
        <w:t>院</w:t>
      </w:r>
      <w:r>
        <w:rPr>
          <w:rFonts w:hint="eastAsia" w:ascii="宋体" w:hAnsi="宋体" w:cs="宋体"/>
          <w:kern w:val="0"/>
          <w:sz w:val="24"/>
        </w:rPr>
        <w:t>根据学校推免条件和学院推免工作实施细则，</w:t>
      </w:r>
      <w:r>
        <w:rPr>
          <w:rFonts w:ascii="宋体" w:hAnsi="宋体" w:cs="宋体"/>
          <w:kern w:val="0"/>
          <w:sz w:val="24"/>
        </w:rPr>
        <w:t>做好</w:t>
      </w:r>
      <w:r>
        <w:rPr>
          <w:rFonts w:hint="eastAsia" w:ascii="宋体" w:hAnsi="宋体" w:cs="宋体"/>
          <w:kern w:val="0"/>
          <w:sz w:val="24"/>
        </w:rPr>
        <w:t>学生成绩、成果证书</w:t>
      </w:r>
      <w:r>
        <w:rPr>
          <w:rFonts w:ascii="宋体" w:hAnsi="宋体" w:cs="宋体"/>
          <w:kern w:val="0"/>
          <w:sz w:val="24"/>
        </w:rPr>
        <w:t>等有关材料的审核</w:t>
      </w:r>
      <w:r>
        <w:rPr>
          <w:rFonts w:hint="eastAsia" w:ascii="宋体" w:hAnsi="宋体" w:cs="宋体"/>
          <w:kern w:val="0"/>
          <w:sz w:val="24"/>
        </w:rPr>
        <w:t>认定。</w:t>
      </w:r>
    </w:p>
    <w:p>
      <w:pPr>
        <w:widowControl/>
        <w:spacing w:line="440" w:lineRule="exact"/>
        <w:ind w:firstLine="460" w:firstLineChars="192"/>
        <w:jc w:val="left"/>
        <w:rPr>
          <w:rFonts w:ascii="宋体" w:hAnsi="宋体" w:cs="宋体"/>
          <w:kern w:val="0"/>
          <w:sz w:val="24"/>
        </w:rPr>
      </w:pPr>
      <w:r>
        <w:rPr>
          <w:rFonts w:hint="eastAsia" w:ascii="宋体" w:hAnsi="宋体" w:cs="宋体"/>
          <w:kern w:val="0"/>
          <w:sz w:val="24"/>
        </w:rPr>
        <w:t>(四) 学院结合</w:t>
      </w:r>
      <w:r>
        <w:rPr>
          <w:rFonts w:ascii="宋体" w:hAnsi="宋体" w:cs="宋体"/>
          <w:kern w:val="0"/>
          <w:sz w:val="24"/>
        </w:rPr>
        <w:t>学校</w:t>
      </w:r>
      <w:r>
        <w:rPr>
          <w:rFonts w:hint="eastAsia" w:ascii="宋体" w:hAnsi="宋体" w:cs="宋体"/>
          <w:kern w:val="0"/>
          <w:sz w:val="24"/>
        </w:rPr>
        <w:t>分配</w:t>
      </w:r>
      <w:r>
        <w:rPr>
          <w:rFonts w:ascii="宋体" w:hAnsi="宋体" w:cs="宋体"/>
          <w:kern w:val="0"/>
          <w:sz w:val="24"/>
        </w:rPr>
        <w:t>的</w:t>
      </w:r>
      <w:r>
        <w:rPr>
          <w:rFonts w:hint="eastAsia" w:ascii="宋体" w:hAnsi="宋体" w:cs="宋体"/>
          <w:kern w:val="0"/>
          <w:sz w:val="24"/>
        </w:rPr>
        <w:t>推免</w:t>
      </w:r>
      <w:r>
        <w:rPr>
          <w:rFonts w:ascii="宋体" w:hAnsi="宋体" w:cs="宋体"/>
          <w:kern w:val="0"/>
          <w:sz w:val="24"/>
        </w:rPr>
        <w:t>名额</w:t>
      </w:r>
      <w:r>
        <w:rPr>
          <w:rFonts w:hint="eastAsia" w:ascii="宋体" w:hAnsi="宋体" w:cs="宋体"/>
          <w:kern w:val="0"/>
          <w:sz w:val="24"/>
        </w:rPr>
        <w:t>，通过集体研究讨论</w:t>
      </w:r>
      <w:r>
        <w:rPr>
          <w:rFonts w:ascii="宋体" w:hAnsi="宋体" w:cs="宋体"/>
          <w:kern w:val="0"/>
          <w:sz w:val="24"/>
        </w:rPr>
        <w:t>提出</w:t>
      </w:r>
      <w:r>
        <w:rPr>
          <w:rFonts w:hint="eastAsia" w:ascii="宋体" w:hAnsi="宋体" w:cs="宋体"/>
          <w:kern w:val="0"/>
          <w:sz w:val="24"/>
        </w:rPr>
        <w:t>本院拟推免学生</w:t>
      </w:r>
      <w:r>
        <w:rPr>
          <w:rFonts w:ascii="宋体" w:hAnsi="宋体" w:cs="宋体"/>
          <w:kern w:val="0"/>
          <w:sz w:val="24"/>
        </w:rPr>
        <w:t>名单</w:t>
      </w:r>
      <w:r>
        <w:rPr>
          <w:rFonts w:hint="eastAsia" w:ascii="宋体" w:hAnsi="宋体" w:cs="宋体"/>
          <w:kern w:val="0"/>
          <w:sz w:val="24"/>
        </w:rPr>
        <w:t>，并公示3天</w:t>
      </w:r>
      <w:r>
        <w:rPr>
          <w:rFonts w:ascii="宋体" w:hAnsi="宋体" w:cs="宋体"/>
          <w:kern w:val="0"/>
          <w:sz w:val="24"/>
        </w:rPr>
        <w:t>；对有异议的学生进行调查核实，如发现弄虚作假者，取消其推免生资格</w:t>
      </w:r>
      <w:r>
        <w:rPr>
          <w:rFonts w:hint="eastAsia" w:ascii="宋体" w:hAnsi="宋体" w:cs="宋体"/>
          <w:kern w:val="0"/>
          <w:sz w:val="24"/>
        </w:rPr>
        <w:t>；</w:t>
      </w:r>
      <w:r>
        <w:rPr>
          <w:rFonts w:ascii="宋体" w:hAnsi="宋体" w:cs="宋体"/>
          <w:kern w:val="0"/>
          <w:sz w:val="24"/>
        </w:rPr>
        <w:t>公示结束后，</w:t>
      </w:r>
      <w:r>
        <w:rPr>
          <w:rFonts w:hint="eastAsia" w:ascii="宋体" w:hAnsi="宋体" w:cs="宋体"/>
          <w:kern w:val="0"/>
          <w:sz w:val="24"/>
        </w:rPr>
        <w:t>如无异议，学院按有关规定将</w:t>
      </w:r>
      <w:r>
        <w:rPr>
          <w:rFonts w:ascii="宋体" w:hAnsi="宋体" w:cs="宋体"/>
          <w:kern w:val="0"/>
          <w:sz w:val="24"/>
        </w:rPr>
        <w:t>名单</w:t>
      </w:r>
      <w:r>
        <w:rPr>
          <w:rFonts w:hint="eastAsia" w:ascii="宋体" w:hAnsi="宋体" w:cs="宋体"/>
          <w:kern w:val="0"/>
          <w:sz w:val="24"/>
        </w:rPr>
        <w:t>上报教务处。</w:t>
      </w:r>
    </w:p>
    <w:p>
      <w:pPr>
        <w:widowControl/>
        <w:spacing w:line="360" w:lineRule="auto"/>
        <w:ind w:firstLine="570"/>
        <w:jc w:val="left"/>
        <w:rPr>
          <w:rFonts w:ascii="宋体" w:hAnsi="宋体" w:cs="宋体"/>
          <w:kern w:val="0"/>
          <w:sz w:val="24"/>
        </w:rPr>
      </w:pPr>
      <w:r>
        <w:rPr>
          <w:rFonts w:hint="eastAsia" w:ascii="宋体" w:hAnsi="宋体" w:cs="宋体"/>
          <w:kern w:val="0"/>
          <w:sz w:val="24"/>
        </w:rPr>
        <w:t xml:space="preserve">(五) </w:t>
      </w:r>
      <w:r>
        <w:rPr>
          <w:rFonts w:ascii="宋体" w:hAnsi="宋体" w:cs="宋体"/>
          <w:kern w:val="0"/>
          <w:sz w:val="24"/>
        </w:rPr>
        <w:t>推免生的选拔工作</w:t>
      </w:r>
      <w:r>
        <w:rPr>
          <w:rFonts w:hint="eastAsia" w:ascii="宋体" w:hAnsi="宋体" w:cs="宋体"/>
          <w:kern w:val="0"/>
          <w:sz w:val="24"/>
        </w:rPr>
        <w:t>接受学院纪委监督，监督电话：6886287</w:t>
      </w:r>
      <w:r>
        <w:rPr>
          <w:rFonts w:hint="eastAsia" w:ascii="宋体" w:hAnsi="宋体" w:cs="宋体"/>
          <w:kern w:val="0"/>
          <w:sz w:val="24"/>
          <w:lang w:val="en-US" w:eastAsia="zh-CN"/>
        </w:rPr>
        <w:t>7</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bCs/>
          <w:kern w:val="0"/>
          <w:sz w:val="24"/>
        </w:rPr>
        <w:t>（六）</w:t>
      </w:r>
      <w:r>
        <w:rPr>
          <w:rFonts w:hint="eastAsia" w:ascii="宋体" w:hAnsi="宋体" w:cs="宋体"/>
          <w:kern w:val="0"/>
          <w:sz w:val="24"/>
        </w:rPr>
        <w:t>根据学校教育教学改革要求，将“拔尖人才培育计划”纳入本科生推免工作。具体按照《关于印发《武汉科技大学“拔尖人才培育计划”实施办法》（武科大研发[2021]103号）》文件执行。</w:t>
      </w:r>
    </w:p>
    <w:p>
      <w:pPr>
        <w:widowControl/>
        <w:spacing w:line="440" w:lineRule="exact"/>
        <w:ind w:firstLine="463" w:firstLineChars="192"/>
        <w:jc w:val="left"/>
        <w:rPr>
          <w:rFonts w:ascii="宋体" w:hAnsi="宋体" w:cs="宋体"/>
          <w:b/>
          <w:bCs/>
          <w:kern w:val="0"/>
          <w:sz w:val="24"/>
        </w:rPr>
      </w:pPr>
      <w:r>
        <w:rPr>
          <w:rFonts w:hint="eastAsia" w:ascii="宋体" w:hAnsi="宋体" w:cs="宋体"/>
          <w:b/>
          <w:bCs/>
          <w:kern w:val="0"/>
          <w:sz w:val="24"/>
        </w:rPr>
        <w:t>四、综合成绩计分原则</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根据学校《关于做好推荐2022届优秀应届本科毕业生免试攻读硕士学位研究生的通知》的要求，将学科和科技竞赛获奖、科研成果等纳入综合成绩评价体系。学生综合成绩包括平均学分绩点、创新奖励分两个方面（奖励分值请见表1和表2）。平均学分绩点按照该生大学期间所有课程平均学分绩点计，创新奖励分上限分数为0.4分。</w:t>
      </w:r>
    </w:p>
    <w:p>
      <w:pPr>
        <w:widowControl/>
        <w:spacing w:line="440" w:lineRule="exact"/>
        <w:ind w:firstLine="482" w:firstLineChars="200"/>
        <w:rPr>
          <w:rFonts w:ascii="宋体" w:hAnsi="宋体" w:cs="宋体"/>
          <w:b/>
          <w:bCs/>
          <w:kern w:val="0"/>
          <w:sz w:val="24"/>
        </w:rPr>
      </w:pPr>
      <w:r>
        <w:rPr>
          <w:rFonts w:hint="eastAsia" w:ascii="宋体" w:hAnsi="宋体" w:cs="宋体"/>
          <w:b/>
          <w:bCs/>
          <w:kern w:val="0"/>
          <w:sz w:val="24"/>
        </w:rPr>
        <w:t>综合成绩=平均学分绩点+创新奖励分</w:t>
      </w:r>
    </w:p>
    <w:p>
      <w:pPr>
        <w:pStyle w:val="14"/>
        <w:widowControl/>
        <w:spacing w:line="360" w:lineRule="auto"/>
        <w:ind w:firstLine="480"/>
        <w:rPr>
          <w:rFonts w:ascii="宋体" w:cs="宋体"/>
          <w:kern w:val="0"/>
          <w:sz w:val="24"/>
        </w:rPr>
      </w:pPr>
      <w:r>
        <w:rPr>
          <w:rFonts w:hint="eastAsia" w:ascii="宋体" w:hAnsi="宋体" w:cs="宋体"/>
          <w:kern w:val="0"/>
          <w:sz w:val="24"/>
        </w:rPr>
        <w:t>综合成绩相同时，依次按平均学分绩点、课程平均学分绩、创新奖励分值、英语等级及分数高低进行排序。</w:t>
      </w:r>
    </w:p>
    <w:p>
      <w:pPr>
        <w:widowControl/>
        <w:spacing w:line="400" w:lineRule="exact"/>
        <w:jc w:val="center"/>
        <w:rPr>
          <w:kern w:val="0"/>
          <w:szCs w:val="21"/>
        </w:rPr>
      </w:pPr>
      <w:r>
        <w:rPr>
          <w:kern w:val="0"/>
          <w:szCs w:val="21"/>
        </w:rPr>
        <w:t>表1</w:t>
      </w:r>
      <w:r>
        <w:rPr>
          <w:rFonts w:hint="eastAsia"/>
          <w:kern w:val="0"/>
          <w:szCs w:val="21"/>
        </w:rPr>
        <w:t>学术</w:t>
      </w:r>
      <w:r>
        <w:rPr>
          <w:kern w:val="0"/>
          <w:szCs w:val="21"/>
        </w:rPr>
        <w:t>论文与专利的</w:t>
      </w:r>
      <w:r>
        <w:rPr>
          <w:rFonts w:hint="eastAsia"/>
          <w:kern w:val="0"/>
          <w:szCs w:val="21"/>
        </w:rPr>
        <w:t>创新</w:t>
      </w:r>
      <w:r>
        <w:rPr>
          <w:kern w:val="0"/>
          <w:szCs w:val="21"/>
        </w:rPr>
        <w:t>奖励分</w:t>
      </w:r>
      <w:r>
        <w:rPr>
          <w:rFonts w:hint="eastAsia"/>
          <w:kern w:val="0"/>
          <w:szCs w:val="21"/>
        </w:rPr>
        <w:t>值</w:t>
      </w:r>
      <w:r>
        <w:rPr>
          <w:kern w:val="0"/>
          <w:szCs w:val="21"/>
        </w:rPr>
        <w:t>计算</w:t>
      </w:r>
    </w:p>
    <w:tbl>
      <w:tblPr>
        <w:tblStyle w:val="6"/>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0"/>
        <w:gridCol w:w="1800"/>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4140" w:type="dxa"/>
          </w:tcPr>
          <w:p>
            <w:pPr>
              <w:widowControl/>
              <w:spacing w:line="400" w:lineRule="exact"/>
              <w:jc w:val="center"/>
              <w:rPr>
                <w:kern w:val="0"/>
                <w:szCs w:val="21"/>
              </w:rPr>
            </w:pPr>
            <w:r>
              <w:rPr>
                <w:kern w:val="0"/>
                <w:szCs w:val="21"/>
              </w:rPr>
              <w:t>类别</w:t>
            </w:r>
          </w:p>
        </w:tc>
        <w:tc>
          <w:tcPr>
            <w:tcW w:w="1800" w:type="dxa"/>
          </w:tcPr>
          <w:p>
            <w:pPr>
              <w:widowControl/>
              <w:spacing w:line="400" w:lineRule="exact"/>
              <w:jc w:val="center"/>
              <w:rPr>
                <w:kern w:val="0"/>
                <w:szCs w:val="21"/>
              </w:rPr>
            </w:pPr>
            <w:r>
              <w:rPr>
                <w:kern w:val="0"/>
                <w:szCs w:val="21"/>
              </w:rPr>
              <w:t>排序</w:t>
            </w:r>
          </w:p>
        </w:tc>
        <w:tc>
          <w:tcPr>
            <w:tcW w:w="2700" w:type="dxa"/>
          </w:tcPr>
          <w:p>
            <w:pPr>
              <w:widowControl/>
              <w:spacing w:line="400" w:lineRule="exact"/>
              <w:jc w:val="center"/>
              <w:rPr>
                <w:kern w:val="0"/>
                <w:szCs w:val="21"/>
              </w:rPr>
            </w:pPr>
            <w:r>
              <w:rPr>
                <w:rFonts w:hint="eastAsia"/>
                <w:kern w:val="0"/>
                <w:szCs w:val="21"/>
              </w:rPr>
              <w:t>创新</w:t>
            </w:r>
            <w:r>
              <w:rPr>
                <w:kern w:val="0"/>
                <w:szCs w:val="21"/>
              </w:rPr>
              <w:t>奖励分</w:t>
            </w:r>
            <w:r>
              <w:rPr>
                <w:rFonts w:hint="eastAsia"/>
                <w:kern w:val="0"/>
                <w:szCs w:val="21"/>
              </w:rPr>
              <w:t>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4140" w:type="dxa"/>
          </w:tcPr>
          <w:p>
            <w:pPr>
              <w:widowControl/>
              <w:spacing w:line="400" w:lineRule="exact"/>
              <w:jc w:val="center"/>
              <w:rPr>
                <w:kern w:val="0"/>
                <w:szCs w:val="21"/>
              </w:rPr>
            </w:pPr>
            <w:r>
              <w:rPr>
                <w:rFonts w:hint="eastAsia"/>
                <w:kern w:val="0"/>
                <w:szCs w:val="21"/>
              </w:rPr>
              <w:t>A1与A2类期刊</w:t>
            </w:r>
            <w:r>
              <w:rPr>
                <w:kern w:val="0"/>
                <w:szCs w:val="21"/>
              </w:rPr>
              <w:t>论文</w:t>
            </w:r>
          </w:p>
        </w:tc>
        <w:tc>
          <w:tcPr>
            <w:tcW w:w="1800" w:type="dxa"/>
            <w:vAlign w:val="center"/>
          </w:tcPr>
          <w:p>
            <w:pPr>
              <w:widowControl/>
              <w:spacing w:line="400" w:lineRule="exact"/>
              <w:jc w:val="center"/>
              <w:rPr>
                <w:kern w:val="0"/>
                <w:szCs w:val="21"/>
              </w:rPr>
            </w:pPr>
            <w:r>
              <w:rPr>
                <w:kern w:val="0"/>
                <w:szCs w:val="21"/>
              </w:rPr>
              <w:t>排序第一</w:t>
            </w:r>
          </w:p>
        </w:tc>
        <w:tc>
          <w:tcPr>
            <w:tcW w:w="2700" w:type="dxa"/>
            <w:vAlign w:val="center"/>
          </w:tcPr>
          <w:p>
            <w:pPr>
              <w:widowControl/>
              <w:spacing w:line="400" w:lineRule="exact"/>
              <w:jc w:val="center"/>
              <w:rPr>
                <w:kern w:val="0"/>
                <w:szCs w:val="21"/>
              </w:rPr>
            </w:pPr>
            <w:r>
              <w:rPr>
                <w:kern w:val="0"/>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140" w:type="dxa"/>
          </w:tcPr>
          <w:p>
            <w:pPr>
              <w:widowControl/>
              <w:spacing w:line="400" w:lineRule="exact"/>
              <w:jc w:val="center"/>
              <w:rPr>
                <w:kern w:val="0"/>
                <w:szCs w:val="21"/>
              </w:rPr>
            </w:pPr>
            <w:r>
              <w:rPr>
                <w:rFonts w:hint="eastAsia"/>
                <w:kern w:val="0"/>
                <w:szCs w:val="21"/>
              </w:rPr>
              <w:t>A3类期刊</w:t>
            </w:r>
            <w:r>
              <w:rPr>
                <w:kern w:val="0"/>
                <w:szCs w:val="21"/>
              </w:rPr>
              <w:t>论文</w:t>
            </w:r>
          </w:p>
        </w:tc>
        <w:tc>
          <w:tcPr>
            <w:tcW w:w="1800" w:type="dxa"/>
            <w:vAlign w:val="center"/>
          </w:tcPr>
          <w:p>
            <w:pPr>
              <w:widowControl/>
              <w:spacing w:line="400" w:lineRule="exact"/>
              <w:jc w:val="center"/>
              <w:rPr>
                <w:kern w:val="0"/>
                <w:szCs w:val="21"/>
              </w:rPr>
            </w:pPr>
            <w:r>
              <w:rPr>
                <w:kern w:val="0"/>
                <w:szCs w:val="21"/>
              </w:rPr>
              <w:t>排序第一</w:t>
            </w:r>
          </w:p>
        </w:tc>
        <w:tc>
          <w:tcPr>
            <w:tcW w:w="2700" w:type="dxa"/>
            <w:vAlign w:val="center"/>
          </w:tcPr>
          <w:p>
            <w:pPr>
              <w:widowControl/>
              <w:spacing w:line="400" w:lineRule="exact"/>
              <w:jc w:val="center"/>
              <w:rPr>
                <w:kern w:val="0"/>
                <w:szCs w:val="21"/>
              </w:rPr>
            </w:pPr>
            <w:r>
              <w:rPr>
                <w:kern w:val="0"/>
                <w:szCs w:val="21"/>
              </w:rPr>
              <w:t>0.</w:t>
            </w:r>
            <w:r>
              <w:rPr>
                <w:rFonts w:hint="eastAsia"/>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40" w:type="dxa"/>
          </w:tcPr>
          <w:p>
            <w:pPr>
              <w:widowControl/>
              <w:spacing w:line="400" w:lineRule="exact"/>
              <w:jc w:val="center"/>
              <w:rPr>
                <w:kern w:val="0"/>
                <w:szCs w:val="21"/>
              </w:rPr>
            </w:pPr>
            <w:r>
              <w:rPr>
                <w:rFonts w:hint="eastAsia"/>
                <w:kern w:val="0"/>
                <w:szCs w:val="21"/>
              </w:rPr>
              <w:t>B类期刊</w:t>
            </w:r>
            <w:r>
              <w:rPr>
                <w:kern w:val="0"/>
                <w:szCs w:val="21"/>
              </w:rPr>
              <w:t>论文</w:t>
            </w:r>
          </w:p>
        </w:tc>
        <w:tc>
          <w:tcPr>
            <w:tcW w:w="1800" w:type="dxa"/>
            <w:vAlign w:val="center"/>
          </w:tcPr>
          <w:p>
            <w:pPr>
              <w:widowControl/>
              <w:spacing w:line="400" w:lineRule="exact"/>
              <w:jc w:val="center"/>
              <w:rPr>
                <w:kern w:val="0"/>
                <w:szCs w:val="21"/>
              </w:rPr>
            </w:pPr>
            <w:r>
              <w:rPr>
                <w:kern w:val="0"/>
                <w:szCs w:val="21"/>
              </w:rPr>
              <w:t>排序第一</w:t>
            </w:r>
          </w:p>
        </w:tc>
        <w:tc>
          <w:tcPr>
            <w:tcW w:w="2700" w:type="dxa"/>
            <w:vAlign w:val="center"/>
          </w:tcPr>
          <w:p>
            <w:pPr>
              <w:widowControl/>
              <w:spacing w:line="400" w:lineRule="exact"/>
              <w:jc w:val="center"/>
              <w:rPr>
                <w:kern w:val="0"/>
                <w:szCs w:val="21"/>
              </w:rPr>
            </w:pPr>
            <w:r>
              <w:rPr>
                <w:kern w:val="0"/>
                <w:szCs w:val="21"/>
              </w:rPr>
              <w:t>0.</w:t>
            </w:r>
            <w:r>
              <w:rPr>
                <w:rFonts w:hint="eastAsia"/>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140" w:type="dxa"/>
          </w:tcPr>
          <w:p>
            <w:pPr>
              <w:widowControl/>
              <w:spacing w:line="400" w:lineRule="exact"/>
              <w:jc w:val="center"/>
              <w:rPr>
                <w:kern w:val="0"/>
                <w:szCs w:val="21"/>
              </w:rPr>
            </w:pPr>
            <w:r>
              <w:rPr>
                <w:rFonts w:hint="eastAsia"/>
                <w:kern w:val="0"/>
                <w:szCs w:val="21"/>
              </w:rPr>
              <w:t>C类期刊</w:t>
            </w:r>
            <w:r>
              <w:rPr>
                <w:kern w:val="0"/>
                <w:szCs w:val="21"/>
              </w:rPr>
              <w:t>论文</w:t>
            </w:r>
          </w:p>
        </w:tc>
        <w:tc>
          <w:tcPr>
            <w:tcW w:w="1800" w:type="dxa"/>
            <w:vAlign w:val="center"/>
          </w:tcPr>
          <w:p>
            <w:pPr>
              <w:spacing w:line="400" w:lineRule="exact"/>
              <w:jc w:val="center"/>
              <w:rPr>
                <w:kern w:val="0"/>
                <w:szCs w:val="21"/>
              </w:rPr>
            </w:pPr>
            <w:r>
              <w:rPr>
                <w:kern w:val="0"/>
                <w:szCs w:val="21"/>
              </w:rPr>
              <w:t>排序第一</w:t>
            </w:r>
          </w:p>
        </w:tc>
        <w:tc>
          <w:tcPr>
            <w:tcW w:w="2700" w:type="dxa"/>
            <w:vAlign w:val="center"/>
          </w:tcPr>
          <w:p>
            <w:pPr>
              <w:widowControl/>
              <w:spacing w:line="400" w:lineRule="exact"/>
              <w:jc w:val="center"/>
              <w:rPr>
                <w:kern w:val="0"/>
                <w:szCs w:val="21"/>
              </w:rPr>
            </w:pPr>
            <w:r>
              <w:rPr>
                <w:kern w:val="0"/>
                <w:szCs w:val="21"/>
              </w:rPr>
              <w:t>0.0</w:t>
            </w:r>
            <w:r>
              <w:rPr>
                <w:rFonts w:hint="eastAsia"/>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140" w:type="dxa"/>
          </w:tcPr>
          <w:p>
            <w:pPr>
              <w:widowControl/>
              <w:spacing w:line="400" w:lineRule="exact"/>
              <w:jc w:val="center"/>
              <w:rPr>
                <w:kern w:val="0"/>
                <w:szCs w:val="21"/>
              </w:rPr>
            </w:pPr>
            <w:r>
              <w:rPr>
                <w:rFonts w:hint="eastAsia"/>
                <w:kern w:val="0"/>
                <w:szCs w:val="21"/>
                <w:lang w:eastAsia="zh-CN"/>
              </w:rPr>
              <w:t>中国</w:t>
            </w:r>
            <w:r>
              <w:rPr>
                <w:kern w:val="0"/>
                <w:szCs w:val="21"/>
              </w:rPr>
              <w:t>发明专利</w:t>
            </w:r>
          </w:p>
        </w:tc>
        <w:tc>
          <w:tcPr>
            <w:tcW w:w="1800" w:type="dxa"/>
            <w:vAlign w:val="center"/>
          </w:tcPr>
          <w:p>
            <w:pPr>
              <w:widowControl/>
              <w:spacing w:line="400" w:lineRule="exact"/>
              <w:jc w:val="center"/>
              <w:rPr>
                <w:kern w:val="0"/>
                <w:szCs w:val="21"/>
              </w:rPr>
            </w:pPr>
            <w:r>
              <w:rPr>
                <w:kern w:val="0"/>
                <w:szCs w:val="21"/>
              </w:rPr>
              <w:t>排序第一</w:t>
            </w:r>
          </w:p>
        </w:tc>
        <w:tc>
          <w:tcPr>
            <w:tcW w:w="2700" w:type="dxa"/>
            <w:vAlign w:val="center"/>
          </w:tcPr>
          <w:p>
            <w:pPr>
              <w:widowControl/>
              <w:spacing w:line="400" w:lineRule="exact"/>
              <w:jc w:val="center"/>
              <w:rPr>
                <w:kern w:val="0"/>
                <w:szCs w:val="21"/>
              </w:rPr>
            </w:pPr>
            <w:r>
              <w:rPr>
                <w:kern w:val="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40" w:type="dxa"/>
            <w:gridSpan w:val="3"/>
          </w:tcPr>
          <w:p>
            <w:pPr>
              <w:widowControl/>
              <w:jc w:val="left"/>
              <w:rPr>
                <w:kern w:val="0"/>
                <w:szCs w:val="21"/>
              </w:rPr>
            </w:pPr>
            <w:r>
              <w:rPr>
                <w:kern w:val="0"/>
                <w:szCs w:val="21"/>
              </w:rPr>
              <w:t>说明：1.</w:t>
            </w:r>
            <w:r>
              <w:rPr>
                <w:rFonts w:hint="eastAsia"/>
                <w:kern w:val="0"/>
                <w:szCs w:val="21"/>
              </w:rPr>
              <w:t>学术</w:t>
            </w:r>
            <w:r>
              <w:rPr>
                <w:kern w:val="0"/>
                <w:szCs w:val="21"/>
              </w:rPr>
              <w:t>论文必须</w:t>
            </w:r>
            <w:r>
              <w:rPr>
                <w:rFonts w:hint="eastAsia"/>
                <w:kern w:val="0"/>
                <w:szCs w:val="21"/>
              </w:rPr>
              <w:t>是正式发表的期刊论文（不含会议论文、录用通知等）；</w:t>
            </w:r>
            <w:r>
              <w:rPr>
                <w:kern w:val="0"/>
                <w:szCs w:val="21"/>
              </w:rPr>
              <w:t>发明专利必须已获授权</w:t>
            </w:r>
            <w:r>
              <w:rPr>
                <w:rFonts w:hint="eastAsia"/>
                <w:kern w:val="0"/>
                <w:szCs w:val="21"/>
              </w:rPr>
              <w:t>；</w:t>
            </w:r>
          </w:p>
          <w:p>
            <w:pPr>
              <w:widowControl/>
              <w:jc w:val="left"/>
              <w:rPr>
                <w:kern w:val="0"/>
                <w:szCs w:val="21"/>
              </w:rPr>
            </w:pPr>
            <w:r>
              <w:rPr>
                <w:rFonts w:hint="eastAsia"/>
                <w:kern w:val="0"/>
                <w:szCs w:val="21"/>
              </w:rPr>
              <w:t>2.论文分类按《武汉科技大学学术期刊分级规定》（武科大科发〔</w:t>
            </w:r>
            <w:r>
              <w:rPr>
                <w:kern w:val="0"/>
                <w:szCs w:val="21"/>
              </w:rPr>
              <w:t>2020</w:t>
            </w:r>
            <w:r>
              <w:rPr>
                <w:rFonts w:hint="eastAsia"/>
                <w:kern w:val="0"/>
                <w:szCs w:val="21"/>
              </w:rPr>
              <w:t>〕</w:t>
            </w:r>
            <w:r>
              <w:rPr>
                <w:kern w:val="0"/>
                <w:szCs w:val="21"/>
              </w:rPr>
              <w:t xml:space="preserve">5 </w:t>
            </w:r>
            <w:r>
              <w:rPr>
                <w:rFonts w:hint="eastAsia"/>
                <w:kern w:val="0"/>
                <w:szCs w:val="21"/>
              </w:rPr>
              <w:t>号）执行；</w:t>
            </w:r>
          </w:p>
          <w:p>
            <w:pPr>
              <w:widowControl/>
              <w:jc w:val="left"/>
              <w:rPr>
                <w:kern w:val="0"/>
                <w:szCs w:val="21"/>
              </w:rPr>
            </w:pPr>
            <w:r>
              <w:rPr>
                <w:rFonts w:hint="eastAsia"/>
                <w:kern w:val="0"/>
                <w:szCs w:val="21"/>
              </w:rPr>
              <w:t>3.</w:t>
            </w:r>
            <w:r>
              <w:rPr>
                <w:kern w:val="0"/>
                <w:szCs w:val="21"/>
              </w:rPr>
              <w:t>论文奖励分只</w:t>
            </w:r>
            <w:r>
              <w:rPr>
                <w:rFonts w:hint="eastAsia"/>
                <w:kern w:val="0"/>
                <w:szCs w:val="21"/>
              </w:rPr>
              <w:t>记</w:t>
            </w:r>
            <w:r>
              <w:rPr>
                <w:kern w:val="0"/>
                <w:szCs w:val="21"/>
              </w:rPr>
              <w:t>第一作者</w:t>
            </w:r>
            <w:r>
              <w:rPr>
                <w:rFonts w:hint="eastAsia"/>
                <w:kern w:val="0"/>
                <w:szCs w:val="21"/>
              </w:rPr>
              <w:t>，且作者单位为武汉科技大学（</w:t>
            </w:r>
            <w:r>
              <w:rPr>
                <w:kern w:val="0"/>
                <w:szCs w:val="21"/>
              </w:rPr>
              <w:t>若指导老师为第一作者，学生为第二作者，视学生为第一作者</w:t>
            </w:r>
            <w:r>
              <w:rPr>
                <w:rFonts w:hint="eastAsia"/>
                <w:kern w:val="0"/>
                <w:szCs w:val="21"/>
              </w:rPr>
              <w:t>）</w:t>
            </w:r>
            <w:r>
              <w:rPr>
                <w:kern w:val="0"/>
                <w:szCs w:val="21"/>
              </w:rPr>
              <w:t>；</w:t>
            </w:r>
          </w:p>
          <w:p>
            <w:pPr>
              <w:widowControl/>
              <w:jc w:val="left"/>
              <w:rPr>
                <w:kern w:val="0"/>
                <w:szCs w:val="21"/>
              </w:rPr>
            </w:pPr>
            <w:r>
              <w:rPr>
                <w:rFonts w:hint="eastAsia"/>
                <w:kern w:val="0"/>
                <w:szCs w:val="21"/>
              </w:rPr>
              <w:t>4.</w:t>
            </w:r>
            <w:r>
              <w:rPr>
                <w:kern w:val="0"/>
                <w:szCs w:val="21"/>
              </w:rPr>
              <w:t>专利奖励分只</w:t>
            </w:r>
            <w:r>
              <w:rPr>
                <w:rFonts w:hint="eastAsia"/>
                <w:kern w:val="0"/>
                <w:szCs w:val="21"/>
              </w:rPr>
              <w:t>记</w:t>
            </w:r>
            <w:r>
              <w:rPr>
                <w:kern w:val="0"/>
                <w:szCs w:val="21"/>
              </w:rPr>
              <w:t>第一</w:t>
            </w:r>
            <w:r>
              <w:rPr>
                <w:rFonts w:hint="eastAsia"/>
                <w:kern w:val="0"/>
                <w:szCs w:val="21"/>
              </w:rPr>
              <w:t>发明人</w:t>
            </w:r>
            <w:r>
              <w:rPr>
                <w:kern w:val="0"/>
                <w:szCs w:val="21"/>
              </w:rPr>
              <w:t>，</w:t>
            </w:r>
            <w:r>
              <w:rPr>
                <w:rFonts w:hint="eastAsia"/>
                <w:kern w:val="0"/>
                <w:szCs w:val="21"/>
              </w:rPr>
              <w:t>且专利权人为武汉科技大学。</w:t>
            </w:r>
          </w:p>
        </w:tc>
      </w:tr>
    </w:tbl>
    <w:p>
      <w:pPr>
        <w:widowControl/>
        <w:spacing w:line="400" w:lineRule="exact"/>
        <w:ind w:firstLine="420" w:firstLineChars="200"/>
        <w:jc w:val="center"/>
        <w:rPr>
          <w:kern w:val="0"/>
          <w:szCs w:val="21"/>
        </w:rPr>
      </w:pPr>
      <w:r>
        <w:rPr>
          <w:kern w:val="0"/>
          <w:szCs w:val="21"/>
        </w:rPr>
        <w:t>表2 各类大学生学科与科技竞赛的</w:t>
      </w:r>
      <w:r>
        <w:rPr>
          <w:rFonts w:hint="eastAsia"/>
          <w:kern w:val="0"/>
          <w:szCs w:val="21"/>
        </w:rPr>
        <w:t>创新</w:t>
      </w:r>
      <w:r>
        <w:rPr>
          <w:kern w:val="0"/>
          <w:szCs w:val="21"/>
        </w:rPr>
        <w:t>奖励分</w:t>
      </w:r>
      <w:r>
        <w:rPr>
          <w:rFonts w:hint="eastAsia"/>
          <w:kern w:val="0"/>
          <w:szCs w:val="21"/>
        </w:rPr>
        <w:t>值</w:t>
      </w:r>
      <w:r>
        <w:rPr>
          <w:kern w:val="0"/>
          <w:szCs w:val="21"/>
        </w:rPr>
        <w:t>计算</w:t>
      </w:r>
    </w:p>
    <w:tbl>
      <w:tblPr>
        <w:tblStyle w:val="6"/>
        <w:tblW w:w="7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8"/>
        <w:gridCol w:w="1165"/>
        <w:gridCol w:w="2467"/>
        <w:gridCol w:w="2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1208" w:type="dxa"/>
            <w:vMerge w:val="restart"/>
            <w:noWrap/>
            <w:vAlign w:val="center"/>
          </w:tcPr>
          <w:p>
            <w:pPr>
              <w:widowControl/>
              <w:adjustRightInd w:val="0"/>
              <w:snapToGrid w:val="0"/>
              <w:spacing w:line="280" w:lineRule="atLeast"/>
              <w:jc w:val="center"/>
              <w:rPr>
                <w:color w:val="000000"/>
                <w:kern w:val="0"/>
                <w:szCs w:val="21"/>
              </w:rPr>
            </w:pPr>
            <w:r>
              <w:rPr>
                <w:color w:val="000000"/>
                <w:kern w:val="0"/>
                <w:szCs w:val="21"/>
              </w:rPr>
              <w:t>类别</w:t>
            </w:r>
          </w:p>
        </w:tc>
        <w:tc>
          <w:tcPr>
            <w:tcW w:w="3632" w:type="dxa"/>
            <w:gridSpan w:val="2"/>
            <w:vMerge w:val="restart"/>
            <w:noWrap/>
            <w:vAlign w:val="center"/>
          </w:tcPr>
          <w:p>
            <w:pPr>
              <w:widowControl/>
              <w:adjustRightInd w:val="0"/>
              <w:snapToGrid w:val="0"/>
              <w:spacing w:line="280" w:lineRule="atLeast"/>
              <w:jc w:val="center"/>
              <w:rPr>
                <w:color w:val="000000"/>
                <w:kern w:val="0"/>
                <w:szCs w:val="21"/>
              </w:rPr>
            </w:pPr>
            <w:r>
              <w:rPr>
                <w:rFonts w:hint="eastAsia"/>
                <w:color w:val="000000"/>
                <w:kern w:val="0"/>
                <w:szCs w:val="21"/>
              </w:rPr>
              <w:t>获奖</w:t>
            </w:r>
            <w:r>
              <w:rPr>
                <w:color w:val="000000"/>
                <w:kern w:val="0"/>
                <w:szCs w:val="21"/>
              </w:rPr>
              <w:t>等级</w:t>
            </w:r>
          </w:p>
        </w:tc>
        <w:tc>
          <w:tcPr>
            <w:tcW w:w="2720" w:type="dxa"/>
            <w:noWrap/>
            <w:vAlign w:val="center"/>
          </w:tcPr>
          <w:p>
            <w:pPr>
              <w:widowControl/>
              <w:adjustRightInd w:val="0"/>
              <w:snapToGrid w:val="0"/>
              <w:spacing w:line="280" w:lineRule="atLeast"/>
              <w:jc w:val="center"/>
              <w:rPr>
                <w:color w:val="000000"/>
                <w:kern w:val="0"/>
                <w:szCs w:val="21"/>
              </w:rPr>
            </w:pPr>
            <w:r>
              <w:rPr>
                <w:rFonts w:hint="eastAsia"/>
                <w:kern w:val="0"/>
                <w:szCs w:val="21"/>
              </w:rPr>
              <w:t>创新</w:t>
            </w:r>
            <w:r>
              <w:rPr>
                <w:kern w:val="0"/>
                <w:szCs w:val="21"/>
              </w:rPr>
              <w:t>奖励分</w:t>
            </w:r>
            <w:r>
              <w:rPr>
                <w:rFonts w:hint="eastAsia"/>
                <w:kern w:val="0"/>
                <w:szCs w:val="21"/>
              </w:rPr>
              <w:t>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208" w:type="dxa"/>
            <w:vMerge w:val="continue"/>
            <w:vAlign w:val="center"/>
          </w:tcPr>
          <w:p>
            <w:pPr>
              <w:widowControl/>
              <w:adjustRightInd w:val="0"/>
              <w:snapToGrid w:val="0"/>
              <w:spacing w:line="280" w:lineRule="atLeast"/>
              <w:jc w:val="center"/>
              <w:rPr>
                <w:color w:val="000000"/>
                <w:kern w:val="0"/>
                <w:szCs w:val="21"/>
              </w:rPr>
            </w:pPr>
          </w:p>
        </w:tc>
        <w:tc>
          <w:tcPr>
            <w:tcW w:w="3632" w:type="dxa"/>
            <w:gridSpan w:val="2"/>
            <w:vMerge w:val="continue"/>
            <w:vAlign w:val="center"/>
          </w:tcPr>
          <w:p>
            <w:pPr>
              <w:widowControl/>
              <w:adjustRightInd w:val="0"/>
              <w:snapToGrid w:val="0"/>
              <w:spacing w:line="280" w:lineRule="atLeast"/>
              <w:jc w:val="center"/>
              <w:rPr>
                <w:color w:val="000000"/>
                <w:kern w:val="0"/>
                <w:szCs w:val="21"/>
              </w:rPr>
            </w:pPr>
          </w:p>
        </w:tc>
        <w:tc>
          <w:tcPr>
            <w:tcW w:w="2720" w:type="dxa"/>
            <w:noWrap/>
            <w:vAlign w:val="center"/>
          </w:tcPr>
          <w:p>
            <w:pPr>
              <w:widowControl/>
              <w:adjustRightInd w:val="0"/>
              <w:snapToGrid w:val="0"/>
              <w:spacing w:line="280" w:lineRule="atLeast"/>
              <w:jc w:val="center"/>
              <w:rPr>
                <w:color w:val="000000"/>
                <w:kern w:val="0"/>
                <w:szCs w:val="21"/>
              </w:rPr>
            </w:pPr>
            <w:r>
              <w:rPr>
                <w:color w:val="000000"/>
                <w:kern w:val="0"/>
                <w:szCs w:val="21"/>
              </w:rPr>
              <w:t>排</w:t>
            </w:r>
            <w:r>
              <w:rPr>
                <w:rFonts w:hint="eastAsia"/>
                <w:color w:val="000000"/>
                <w:kern w:val="0"/>
                <w:szCs w:val="21"/>
              </w:rPr>
              <w:t>序</w:t>
            </w:r>
            <w:r>
              <w:rPr>
                <w:color w:val="000000"/>
                <w:kern w:val="0"/>
                <w:szCs w:val="21"/>
              </w:rPr>
              <w:t>第1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208" w:type="dxa"/>
            <w:vMerge w:val="restart"/>
            <w:noWrap/>
            <w:vAlign w:val="center"/>
          </w:tcPr>
          <w:p>
            <w:pPr>
              <w:widowControl/>
              <w:adjustRightInd w:val="0"/>
              <w:snapToGrid w:val="0"/>
              <w:spacing w:line="280" w:lineRule="atLeast"/>
              <w:jc w:val="center"/>
              <w:rPr>
                <w:color w:val="000000"/>
                <w:kern w:val="0"/>
                <w:szCs w:val="21"/>
              </w:rPr>
            </w:pPr>
            <w:r>
              <w:rPr>
                <w:color w:val="000000"/>
                <w:kern w:val="0"/>
                <w:szCs w:val="21"/>
              </w:rPr>
              <w:t>A</w:t>
            </w:r>
            <w:r>
              <w:rPr>
                <w:rFonts w:hint="eastAsia"/>
                <w:color w:val="000000"/>
                <w:kern w:val="0"/>
                <w:szCs w:val="21"/>
              </w:rPr>
              <w:t>1</w:t>
            </w:r>
            <w:r>
              <w:rPr>
                <w:color w:val="000000"/>
                <w:kern w:val="0"/>
                <w:szCs w:val="21"/>
              </w:rPr>
              <w:t>类竞赛</w:t>
            </w:r>
          </w:p>
        </w:tc>
        <w:tc>
          <w:tcPr>
            <w:tcW w:w="1165" w:type="dxa"/>
            <w:vMerge w:val="restart"/>
            <w:noWrap/>
            <w:vAlign w:val="center"/>
          </w:tcPr>
          <w:p>
            <w:pPr>
              <w:widowControl/>
              <w:adjustRightInd w:val="0"/>
              <w:snapToGrid w:val="0"/>
              <w:spacing w:line="280" w:lineRule="atLeast"/>
              <w:jc w:val="center"/>
              <w:rPr>
                <w:color w:val="000000"/>
                <w:kern w:val="0"/>
                <w:szCs w:val="21"/>
              </w:rPr>
            </w:pPr>
            <w:r>
              <w:rPr>
                <w:color w:val="000000"/>
                <w:kern w:val="0"/>
                <w:szCs w:val="21"/>
              </w:rPr>
              <w:t>国家级</w:t>
            </w: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一等奖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 w:hRule="atLeast"/>
          <w:jc w:val="center"/>
        </w:trPr>
        <w:tc>
          <w:tcPr>
            <w:tcW w:w="1208" w:type="dxa"/>
            <w:vMerge w:val="continue"/>
            <w:vAlign w:val="center"/>
          </w:tcPr>
          <w:p>
            <w:pPr>
              <w:widowControl/>
              <w:adjustRightInd w:val="0"/>
              <w:snapToGrid w:val="0"/>
              <w:spacing w:line="280" w:lineRule="atLeast"/>
              <w:jc w:val="center"/>
              <w:rPr>
                <w:color w:val="000000"/>
                <w:kern w:val="0"/>
                <w:szCs w:val="21"/>
              </w:rPr>
            </w:pPr>
          </w:p>
        </w:tc>
        <w:tc>
          <w:tcPr>
            <w:tcW w:w="1165" w:type="dxa"/>
            <w:vMerge w:val="continue"/>
            <w:vAlign w:val="center"/>
          </w:tcPr>
          <w:p>
            <w:pPr>
              <w:widowControl/>
              <w:adjustRightInd w:val="0"/>
              <w:snapToGrid w:val="0"/>
              <w:spacing w:line="280" w:lineRule="atLeast"/>
              <w:jc w:val="center"/>
              <w:rPr>
                <w:color w:val="000000"/>
                <w:kern w:val="0"/>
                <w:szCs w:val="21"/>
              </w:rPr>
            </w:pP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二等奖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208" w:type="dxa"/>
            <w:vMerge w:val="continue"/>
            <w:vAlign w:val="center"/>
          </w:tcPr>
          <w:p>
            <w:pPr>
              <w:widowControl/>
              <w:adjustRightInd w:val="0"/>
              <w:snapToGrid w:val="0"/>
              <w:spacing w:line="280" w:lineRule="atLeast"/>
              <w:jc w:val="center"/>
              <w:rPr>
                <w:color w:val="000000"/>
                <w:kern w:val="0"/>
                <w:szCs w:val="21"/>
              </w:rPr>
            </w:pPr>
          </w:p>
        </w:tc>
        <w:tc>
          <w:tcPr>
            <w:tcW w:w="1165" w:type="dxa"/>
            <w:vMerge w:val="continue"/>
            <w:vAlign w:val="center"/>
          </w:tcPr>
          <w:p>
            <w:pPr>
              <w:widowControl/>
              <w:adjustRightInd w:val="0"/>
              <w:snapToGrid w:val="0"/>
              <w:spacing w:line="280" w:lineRule="atLeast"/>
              <w:jc w:val="center"/>
              <w:rPr>
                <w:color w:val="000000"/>
                <w:kern w:val="0"/>
                <w:szCs w:val="21"/>
              </w:rPr>
            </w:pP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三等奖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208" w:type="dxa"/>
            <w:vMerge w:val="continue"/>
            <w:vAlign w:val="center"/>
          </w:tcPr>
          <w:p>
            <w:pPr>
              <w:widowControl/>
              <w:adjustRightInd w:val="0"/>
              <w:snapToGrid w:val="0"/>
              <w:spacing w:line="280" w:lineRule="atLeast"/>
              <w:jc w:val="center"/>
              <w:rPr>
                <w:color w:val="000000"/>
                <w:kern w:val="0"/>
                <w:szCs w:val="21"/>
              </w:rPr>
            </w:pPr>
          </w:p>
        </w:tc>
        <w:tc>
          <w:tcPr>
            <w:tcW w:w="1165" w:type="dxa"/>
            <w:vMerge w:val="restart"/>
            <w:noWrap/>
            <w:vAlign w:val="center"/>
          </w:tcPr>
          <w:p>
            <w:pPr>
              <w:widowControl/>
              <w:adjustRightInd w:val="0"/>
              <w:snapToGrid w:val="0"/>
              <w:spacing w:line="280" w:lineRule="atLeast"/>
              <w:jc w:val="center"/>
              <w:rPr>
                <w:color w:val="000000"/>
                <w:kern w:val="0"/>
                <w:szCs w:val="21"/>
              </w:rPr>
            </w:pPr>
            <w:r>
              <w:rPr>
                <w:color w:val="000000"/>
                <w:kern w:val="0"/>
                <w:szCs w:val="21"/>
              </w:rPr>
              <w:t>省级</w:t>
            </w: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一等奖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208" w:type="dxa"/>
            <w:vMerge w:val="continue"/>
            <w:vAlign w:val="center"/>
          </w:tcPr>
          <w:p>
            <w:pPr>
              <w:widowControl/>
              <w:adjustRightInd w:val="0"/>
              <w:snapToGrid w:val="0"/>
              <w:spacing w:line="280" w:lineRule="atLeast"/>
              <w:jc w:val="center"/>
              <w:rPr>
                <w:color w:val="000000"/>
                <w:kern w:val="0"/>
                <w:szCs w:val="21"/>
              </w:rPr>
            </w:pPr>
          </w:p>
        </w:tc>
        <w:tc>
          <w:tcPr>
            <w:tcW w:w="1165" w:type="dxa"/>
            <w:vMerge w:val="continue"/>
            <w:vAlign w:val="center"/>
          </w:tcPr>
          <w:p>
            <w:pPr>
              <w:widowControl/>
              <w:adjustRightInd w:val="0"/>
              <w:snapToGrid w:val="0"/>
              <w:spacing w:line="280" w:lineRule="atLeast"/>
              <w:jc w:val="center"/>
              <w:rPr>
                <w:color w:val="000000"/>
                <w:kern w:val="0"/>
                <w:szCs w:val="21"/>
              </w:rPr>
            </w:pP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二等奖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208" w:type="dxa"/>
            <w:vMerge w:val="continue"/>
            <w:vAlign w:val="center"/>
          </w:tcPr>
          <w:p>
            <w:pPr>
              <w:widowControl/>
              <w:adjustRightInd w:val="0"/>
              <w:snapToGrid w:val="0"/>
              <w:spacing w:line="280" w:lineRule="atLeast"/>
              <w:jc w:val="center"/>
              <w:rPr>
                <w:color w:val="000000"/>
                <w:kern w:val="0"/>
                <w:szCs w:val="21"/>
              </w:rPr>
            </w:pPr>
          </w:p>
        </w:tc>
        <w:tc>
          <w:tcPr>
            <w:tcW w:w="1165" w:type="dxa"/>
            <w:vMerge w:val="continue"/>
            <w:vAlign w:val="center"/>
          </w:tcPr>
          <w:p>
            <w:pPr>
              <w:widowControl/>
              <w:adjustRightInd w:val="0"/>
              <w:snapToGrid w:val="0"/>
              <w:spacing w:line="280" w:lineRule="atLeast"/>
              <w:jc w:val="center"/>
              <w:rPr>
                <w:color w:val="000000"/>
                <w:kern w:val="0"/>
                <w:szCs w:val="21"/>
              </w:rPr>
            </w:pP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三等奖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208" w:type="dxa"/>
            <w:vMerge w:val="restart"/>
            <w:noWrap/>
            <w:vAlign w:val="center"/>
          </w:tcPr>
          <w:p>
            <w:pPr>
              <w:widowControl/>
              <w:adjustRightInd w:val="0"/>
              <w:snapToGrid w:val="0"/>
              <w:spacing w:line="280" w:lineRule="atLeast"/>
              <w:jc w:val="center"/>
              <w:rPr>
                <w:color w:val="000000"/>
                <w:kern w:val="0"/>
                <w:szCs w:val="21"/>
              </w:rPr>
            </w:pPr>
            <w:r>
              <w:rPr>
                <w:rFonts w:hint="eastAsia"/>
                <w:color w:val="000000"/>
                <w:kern w:val="0"/>
                <w:szCs w:val="21"/>
              </w:rPr>
              <w:t>A2</w:t>
            </w:r>
            <w:r>
              <w:rPr>
                <w:color w:val="000000"/>
                <w:kern w:val="0"/>
                <w:szCs w:val="21"/>
              </w:rPr>
              <w:t>类竞赛</w:t>
            </w:r>
          </w:p>
        </w:tc>
        <w:tc>
          <w:tcPr>
            <w:tcW w:w="1165" w:type="dxa"/>
            <w:vMerge w:val="restart"/>
            <w:noWrap/>
            <w:vAlign w:val="center"/>
          </w:tcPr>
          <w:p>
            <w:pPr>
              <w:widowControl/>
              <w:adjustRightInd w:val="0"/>
              <w:snapToGrid w:val="0"/>
              <w:spacing w:line="280" w:lineRule="atLeast"/>
              <w:jc w:val="center"/>
              <w:rPr>
                <w:color w:val="000000"/>
                <w:kern w:val="0"/>
                <w:szCs w:val="21"/>
              </w:rPr>
            </w:pPr>
            <w:r>
              <w:rPr>
                <w:color w:val="000000"/>
                <w:kern w:val="0"/>
                <w:szCs w:val="21"/>
              </w:rPr>
              <w:t>国家级</w:t>
            </w: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一等奖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208" w:type="dxa"/>
            <w:vMerge w:val="continue"/>
            <w:noWrap/>
            <w:vAlign w:val="center"/>
          </w:tcPr>
          <w:p>
            <w:pPr>
              <w:widowControl/>
              <w:adjustRightInd w:val="0"/>
              <w:snapToGrid w:val="0"/>
              <w:spacing w:line="280" w:lineRule="atLeast"/>
              <w:jc w:val="center"/>
              <w:rPr>
                <w:color w:val="000000"/>
                <w:kern w:val="0"/>
                <w:szCs w:val="21"/>
              </w:rPr>
            </w:pPr>
          </w:p>
        </w:tc>
        <w:tc>
          <w:tcPr>
            <w:tcW w:w="1165" w:type="dxa"/>
            <w:vMerge w:val="continue"/>
            <w:noWrap/>
            <w:vAlign w:val="center"/>
          </w:tcPr>
          <w:p>
            <w:pPr>
              <w:widowControl/>
              <w:adjustRightInd w:val="0"/>
              <w:snapToGrid w:val="0"/>
              <w:spacing w:line="280" w:lineRule="atLeast"/>
              <w:jc w:val="center"/>
              <w:rPr>
                <w:color w:val="000000"/>
                <w:kern w:val="0"/>
                <w:szCs w:val="21"/>
              </w:rPr>
            </w:pP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二等奖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208" w:type="dxa"/>
            <w:vMerge w:val="continue"/>
            <w:noWrap/>
            <w:vAlign w:val="center"/>
          </w:tcPr>
          <w:p>
            <w:pPr>
              <w:widowControl/>
              <w:adjustRightInd w:val="0"/>
              <w:snapToGrid w:val="0"/>
              <w:spacing w:line="280" w:lineRule="atLeast"/>
              <w:jc w:val="center"/>
              <w:rPr>
                <w:color w:val="000000"/>
                <w:kern w:val="0"/>
                <w:szCs w:val="21"/>
              </w:rPr>
            </w:pPr>
          </w:p>
        </w:tc>
        <w:tc>
          <w:tcPr>
            <w:tcW w:w="1165" w:type="dxa"/>
            <w:vMerge w:val="continue"/>
            <w:noWrap/>
            <w:vAlign w:val="center"/>
          </w:tcPr>
          <w:p>
            <w:pPr>
              <w:widowControl/>
              <w:adjustRightInd w:val="0"/>
              <w:snapToGrid w:val="0"/>
              <w:spacing w:line="280" w:lineRule="atLeast"/>
              <w:jc w:val="center"/>
              <w:rPr>
                <w:color w:val="000000"/>
                <w:kern w:val="0"/>
                <w:szCs w:val="21"/>
              </w:rPr>
            </w:pP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三等奖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208" w:type="dxa"/>
            <w:vMerge w:val="restart"/>
            <w:noWrap/>
            <w:vAlign w:val="center"/>
          </w:tcPr>
          <w:p>
            <w:pPr>
              <w:widowControl/>
              <w:adjustRightInd w:val="0"/>
              <w:snapToGrid w:val="0"/>
              <w:spacing w:line="280" w:lineRule="atLeast"/>
              <w:jc w:val="center"/>
              <w:rPr>
                <w:color w:val="000000"/>
                <w:kern w:val="0"/>
                <w:szCs w:val="21"/>
              </w:rPr>
            </w:pPr>
            <w:r>
              <w:rPr>
                <w:color w:val="000000"/>
                <w:kern w:val="0"/>
                <w:szCs w:val="21"/>
              </w:rPr>
              <w:t>B1类竞赛</w:t>
            </w:r>
          </w:p>
        </w:tc>
        <w:tc>
          <w:tcPr>
            <w:tcW w:w="1165" w:type="dxa"/>
            <w:vMerge w:val="restart"/>
            <w:noWrap/>
            <w:vAlign w:val="center"/>
          </w:tcPr>
          <w:p>
            <w:pPr>
              <w:widowControl/>
              <w:adjustRightInd w:val="0"/>
              <w:snapToGrid w:val="0"/>
              <w:spacing w:line="280" w:lineRule="atLeast"/>
              <w:jc w:val="center"/>
              <w:rPr>
                <w:color w:val="000000"/>
                <w:kern w:val="0"/>
                <w:szCs w:val="21"/>
              </w:rPr>
            </w:pPr>
            <w:r>
              <w:rPr>
                <w:color w:val="000000"/>
                <w:kern w:val="0"/>
                <w:szCs w:val="21"/>
              </w:rPr>
              <w:t>国家级</w:t>
            </w: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一等奖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208" w:type="dxa"/>
            <w:vMerge w:val="continue"/>
            <w:vAlign w:val="center"/>
          </w:tcPr>
          <w:p>
            <w:pPr>
              <w:widowControl/>
              <w:adjustRightInd w:val="0"/>
              <w:snapToGrid w:val="0"/>
              <w:spacing w:line="280" w:lineRule="atLeast"/>
              <w:jc w:val="center"/>
              <w:rPr>
                <w:color w:val="000000"/>
                <w:kern w:val="0"/>
                <w:szCs w:val="21"/>
              </w:rPr>
            </w:pPr>
          </w:p>
        </w:tc>
        <w:tc>
          <w:tcPr>
            <w:tcW w:w="1165" w:type="dxa"/>
            <w:vMerge w:val="continue"/>
            <w:vAlign w:val="center"/>
          </w:tcPr>
          <w:p>
            <w:pPr>
              <w:widowControl/>
              <w:adjustRightInd w:val="0"/>
              <w:snapToGrid w:val="0"/>
              <w:spacing w:line="280" w:lineRule="atLeast"/>
              <w:jc w:val="center"/>
              <w:rPr>
                <w:color w:val="000000"/>
                <w:kern w:val="0"/>
                <w:szCs w:val="21"/>
              </w:rPr>
            </w:pP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二等奖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1208" w:type="dxa"/>
            <w:vMerge w:val="continue"/>
            <w:vAlign w:val="center"/>
          </w:tcPr>
          <w:p>
            <w:pPr>
              <w:widowControl/>
              <w:adjustRightInd w:val="0"/>
              <w:snapToGrid w:val="0"/>
              <w:spacing w:line="280" w:lineRule="atLeast"/>
              <w:jc w:val="center"/>
              <w:rPr>
                <w:color w:val="000000"/>
                <w:kern w:val="0"/>
                <w:szCs w:val="21"/>
              </w:rPr>
            </w:pPr>
          </w:p>
        </w:tc>
        <w:tc>
          <w:tcPr>
            <w:tcW w:w="1165" w:type="dxa"/>
            <w:vMerge w:val="continue"/>
            <w:vAlign w:val="center"/>
          </w:tcPr>
          <w:p>
            <w:pPr>
              <w:widowControl/>
              <w:adjustRightInd w:val="0"/>
              <w:snapToGrid w:val="0"/>
              <w:spacing w:line="280" w:lineRule="atLeast"/>
              <w:jc w:val="center"/>
              <w:rPr>
                <w:color w:val="000000"/>
                <w:kern w:val="0"/>
                <w:szCs w:val="21"/>
              </w:rPr>
            </w:pP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三等奖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1208" w:type="dxa"/>
            <w:vMerge w:val="restart"/>
            <w:noWrap/>
            <w:vAlign w:val="center"/>
          </w:tcPr>
          <w:p>
            <w:pPr>
              <w:widowControl/>
              <w:adjustRightInd w:val="0"/>
              <w:snapToGrid w:val="0"/>
              <w:spacing w:line="280" w:lineRule="atLeast"/>
              <w:jc w:val="center"/>
              <w:rPr>
                <w:color w:val="000000"/>
                <w:kern w:val="0"/>
                <w:szCs w:val="21"/>
              </w:rPr>
            </w:pPr>
            <w:r>
              <w:rPr>
                <w:color w:val="000000"/>
                <w:kern w:val="0"/>
                <w:szCs w:val="21"/>
              </w:rPr>
              <w:t>B2类竞赛</w:t>
            </w:r>
          </w:p>
        </w:tc>
        <w:tc>
          <w:tcPr>
            <w:tcW w:w="1165" w:type="dxa"/>
            <w:vMerge w:val="restart"/>
            <w:noWrap/>
            <w:vAlign w:val="center"/>
          </w:tcPr>
          <w:p>
            <w:pPr>
              <w:widowControl/>
              <w:adjustRightInd w:val="0"/>
              <w:snapToGrid w:val="0"/>
              <w:spacing w:line="280" w:lineRule="atLeast"/>
              <w:jc w:val="center"/>
              <w:rPr>
                <w:color w:val="000000"/>
                <w:kern w:val="0"/>
                <w:szCs w:val="21"/>
              </w:rPr>
            </w:pPr>
            <w:r>
              <w:rPr>
                <w:color w:val="000000"/>
                <w:kern w:val="0"/>
                <w:szCs w:val="21"/>
              </w:rPr>
              <w:t>国家级</w:t>
            </w: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一等奖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jc w:val="center"/>
        </w:trPr>
        <w:tc>
          <w:tcPr>
            <w:tcW w:w="1208" w:type="dxa"/>
            <w:vMerge w:val="continue"/>
            <w:vAlign w:val="center"/>
          </w:tcPr>
          <w:p>
            <w:pPr>
              <w:widowControl/>
              <w:adjustRightInd w:val="0"/>
              <w:snapToGrid w:val="0"/>
              <w:spacing w:line="280" w:lineRule="atLeast"/>
              <w:jc w:val="center"/>
              <w:rPr>
                <w:color w:val="000000"/>
                <w:kern w:val="0"/>
                <w:szCs w:val="21"/>
              </w:rPr>
            </w:pPr>
          </w:p>
        </w:tc>
        <w:tc>
          <w:tcPr>
            <w:tcW w:w="1165" w:type="dxa"/>
            <w:vMerge w:val="continue"/>
            <w:vAlign w:val="center"/>
          </w:tcPr>
          <w:p>
            <w:pPr>
              <w:widowControl/>
              <w:adjustRightInd w:val="0"/>
              <w:snapToGrid w:val="0"/>
              <w:spacing w:line="280" w:lineRule="atLeast"/>
              <w:jc w:val="center"/>
              <w:rPr>
                <w:color w:val="000000"/>
                <w:kern w:val="0"/>
                <w:szCs w:val="21"/>
              </w:rPr>
            </w:pP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二等奖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 w:hRule="atLeast"/>
          <w:jc w:val="center"/>
        </w:trPr>
        <w:tc>
          <w:tcPr>
            <w:tcW w:w="1208" w:type="dxa"/>
            <w:vMerge w:val="continue"/>
            <w:vAlign w:val="center"/>
          </w:tcPr>
          <w:p>
            <w:pPr>
              <w:widowControl/>
              <w:adjustRightInd w:val="0"/>
              <w:snapToGrid w:val="0"/>
              <w:spacing w:line="280" w:lineRule="atLeast"/>
              <w:jc w:val="center"/>
              <w:rPr>
                <w:color w:val="000000"/>
                <w:kern w:val="0"/>
                <w:szCs w:val="21"/>
              </w:rPr>
            </w:pPr>
          </w:p>
        </w:tc>
        <w:tc>
          <w:tcPr>
            <w:tcW w:w="1165" w:type="dxa"/>
            <w:vMerge w:val="continue"/>
            <w:vAlign w:val="center"/>
          </w:tcPr>
          <w:p>
            <w:pPr>
              <w:widowControl/>
              <w:adjustRightInd w:val="0"/>
              <w:snapToGrid w:val="0"/>
              <w:spacing w:line="280" w:lineRule="atLeast"/>
              <w:jc w:val="center"/>
              <w:rPr>
                <w:color w:val="000000"/>
                <w:kern w:val="0"/>
                <w:szCs w:val="21"/>
              </w:rPr>
            </w:pPr>
          </w:p>
        </w:tc>
        <w:tc>
          <w:tcPr>
            <w:tcW w:w="2467" w:type="dxa"/>
            <w:vAlign w:val="center"/>
          </w:tcPr>
          <w:p>
            <w:pPr>
              <w:widowControl/>
              <w:adjustRightInd w:val="0"/>
              <w:snapToGrid w:val="0"/>
              <w:spacing w:line="280" w:lineRule="atLeast"/>
              <w:jc w:val="center"/>
              <w:rPr>
                <w:color w:val="000000"/>
                <w:kern w:val="0"/>
                <w:szCs w:val="21"/>
              </w:rPr>
            </w:pPr>
            <w:r>
              <w:rPr>
                <w:color w:val="000000"/>
                <w:kern w:val="0"/>
                <w:szCs w:val="21"/>
              </w:rPr>
              <w:t>三等奖</w:t>
            </w:r>
          </w:p>
        </w:tc>
        <w:tc>
          <w:tcPr>
            <w:tcW w:w="2720" w:type="dxa"/>
            <w:vAlign w:val="center"/>
          </w:tcPr>
          <w:p>
            <w:pPr>
              <w:widowControl/>
              <w:adjustRightInd w:val="0"/>
              <w:snapToGrid w:val="0"/>
              <w:spacing w:line="280" w:lineRule="atLeast"/>
              <w:jc w:val="center"/>
              <w:rPr>
                <w:color w:val="000000"/>
                <w:kern w:val="0"/>
                <w:szCs w:val="21"/>
              </w:rPr>
            </w:pPr>
            <w:r>
              <w:rPr>
                <w:rFonts w:hint="eastAsia"/>
                <w:color w:val="000000"/>
                <w:kern w:val="0"/>
                <w:szCs w:val="21"/>
              </w:rPr>
              <w:t>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60" w:type="dxa"/>
            <w:gridSpan w:val="4"/>
            <w:vAlign w:val="center"/>
          </w:tcPr>
          <w:p>
            <w:pPr>
              <w:widowControl/>
              <w:jc w:val="left"/>
              <w:rPr>
                <w:color w:val="000000"/>
                <w:kern w:val="0"/>
                <w:szCs w:val="21"/>
              </w:rPr>
            </w:pPr>
            <w:r>
              <w:rPr>
                <w:color w:val="000000"/>
                <w:kern w:val="0"/>
                <w:szCs w:val="21"/>
              </w:rPr>
              <w:t>说明：1.A</w:t>
            </w:r>
            <w:r>
              <w:rPr>
                <w:rFonts w:hint="eastAsia"/>
                <w:color w:val="000000"/>
                <w:kern w:val="0"/>
                <w:szCs w:val="21"/>
              </w:rPr>
              <w:t>1、A2、B1、B2</w:t>
            </w:r>
            <w:r>
              <w:rPr>
                <w:color w:val="000000"/>
                <w:kern w:val="0"/>
                <w:szCs w:val="21"/>
              </w:rPr>
              <w:t>类赛事</w:t>
            </w:r>
            <w:r>
              <w:rPr>
                <w:rFonts w:hint="eastAsia"/>
                <w:color w:val="000000"/>
                <w:kern w:val="0"/>
                <w:szCs w:val="21"/>
              </w:rPr>
              <w:t>按</w:t>
            </w:r>
            <w:r>
              <w:rPr>
                <w:color w:val="000000"/>
                <w:kern w:val="0"/>
                <w:szCs w:val="21"/>
              </w:rPr>
              <w:t>《</w:t>
            </w:r>
            <w:r>
              <w:rPr>
                <w:rFonts w:hint="eastAsia"/>
                <w:color w:val="000000"/>
                <w:kern w:val="0"/>
                <w:szCs w:val="21"/>
              </w:rPr>
              <w:t>武汉科技大学学生学科和科技竞赛管理办法（武科大教发〔2021〕39号</w:t>
            </w:r>
            <w:r>
              <w:rPr>
                <w:color w:val="000000"/>
                <w:kern w:val="0"/>
                <w:szCs w:val="21"/>
              </w:rPr>
              <w:t>》分类，其他未列入此文件的比赛项目不予认定；2.</w:t>
            </w:r>
            <w:r>
              <w:rPr>
                <w:rFonts w:hint="eastAsia"/>
                <w:color w:val="000000"/>
                <w:kern w:val="0"/>
                <w:szCs w:val="21"/>
              </w:rPr>
              <w:t>获奖项目参赛人员小于等于</w:t>
            </w:r>
            <w:r>
              <w:rPr>
                <w:color w:val="000000"/>
                <w:kern w:val="0"/>
                <w:szCs w:val="21"/>
              </w:rPr>
              <w:t>5</w:t>
            </w:r>
            <w:r>
              <w:rPr>
                <w:rFonts w:hint="eastAsia"/>
                <w:color w:val="000000"/>
                <w:kern w:val="0"/>
                <w:szCs w:val="21"/>
              </w:rPr>
              <w:t>人的，按照排名先后</w:t>
            </w:r>
            <w:r>
              <w:rPr>
                <w:color w:val="000000"/>
                <w:kern w:val="0"/>
                <w:szCs w:val="21"/>
              </w:rPr>
              <w:t>20%</w:t>
            </w:r>
            <w:r>
              <w:rPr>
                <w:rFonts w:hint="eastAsia"/>
                <w:color w:val="000000"/>
                <w:kern w:val="0"/>
                <w:szCs w:val="21"/>
              </w:rPr>
              <w:t>递减，参赛人员大于</w:t>
            </w:r>
            <w:r>
              <w:rPr>
                <w:color w:val="000000"/>
                <w:kern w:val="0"/>
                <w:szCs w:val="21"/>
              </w:rPr>
              <w:t>5</w:t>
            </w:r>
            <w:r>
              <w:rPr>
                <w:rFonts w:hint="eastAsia"/>
                <w:color w:val="000000"/>
                <w:kern w:val="0"/>
                <w:szCs w:val="21"/>
              </w:rPr>
              <w:t>人的按照人数等差递减。团体竞赛项目，项目负责人按相应项目等级计满分，其他团队人员均减半计分。</w:t>
            </w:r>
          </w:p>
          <w:p>
            <w:pPr>
              <w:widowControl/>
              <w:numPr>
                <w:ilvl w:val="0"/>
                <w:numId w:val="1"/>
              </w:numPr>
              <w:jc w:val="left"/>
              <w:rPr>
                <w:rFonts w:hint="eastAsia"/>
                <w:color w:val="000000"/>
                <w:kern w:val="0"/>
                <w:szCs w:val="21"/>
              </w:rPr>
            </w:pPr>
            <w:r>
              <w:rPr>
                <w:color w:val="000000"/>
                <w:kern w:val="0"/>
                <w:szCs w:val="21"/>
              </w:rPr>
              <w:t>同一</w:t>
            </w:r>
            <w:r>
              <w:rPr>
                <w:rFonts w:hint="eastAsia"/>
                <w:color w:val="000000"/>
                <w:kern w:val="0"/>
                <w:szCs w:val="21"/>
              </w:rPr>
              <w:t>竞赛类别，</w:t>
            </w:r>
            <w:r>
              <w:rPr>
                <w:color w:val="000000"/>
                <w:kern w:val="0"/>
                <w:szCs w:val="21"/>
              </w:rPr>
              <w:t>只取该项目最高</w:t>
            </w:r>
            <w:r>
              <w:rPr>
                <w:rFonts w:hint="eastAsia"/>
                <w:color w:val="000000"/>
                <w:kern w:val="0"/>
                <w:szCs w:val="21"/>
              </w:rPr>
              <w:t>内容及等级计分；</w:t>
            </w:r>
            <w:r>
              <w:rPr>
                <w:color w:val="000000"/>
                <w:kern w:val="0"/>
                <w:szCs w:val="21"/>
              </w:rPr>
              <w:t>不同</w:t>
            </w:r>
            <w:r>
              <w:rPr>
                <w:rFonts w:hint="eastAsia"/>
                <w:color w:val="000000"/>
                <w:kern w:val="0"/>
                <w:szCs w:val="21"/>
              </w:rPr>
              <w:t>竞赛类别，计</w:t>
            </w:r>
            <w:r>
              <w:rPr>
                <w:color w:val="000000"/>
                <w:kern w:val="0"/>
                <w:szCs w:val="21"/>
              </w:rPr>
              <w:t>分可累加</w:t>
            </w:r>
            <w:r>
              <w:rPr>
                <w:rFonts w:hint="eastAsia"/>
                <w:color w:val="000000"/>
                <w:kern w:val="0"/>
                <w:szCs w:val="21"/>
              </w:rPr>
              <w:t>。</w:t>
            </w:r>
          </w:p>
          <w:p>
            <w:pPr>
              <w:widowControl/>
              <w:numPr>
                <w:ilvl w:val="0"/>
                <w:numId w:val="1"/>
              </w:numPr>
              <w:jc w:val="left"/>
              <w:rPr>
                <w:rFonts w:hint="eastAsia"/>
                <w:color w:val="000000"/>
                <w:kern w:val="0"/>
                <w:szCs w:val="21"/>
              </w:rPr>
            </w:pPr>
            <w:bookmarkStart w:id="0" w:name="_GoBack"/>
            <w:r>
              <w:rPr>
                <w:rFonts w:hint="eastAsia"/>
                <w:color w:val="000000"/>
                <w:kern w:val="0"/>
                <w:szCs w:val="21"/>
                <w:lang w:eastAsia="zh-CN"/>
              </w:rPr>
              <w:t>以上赛事属于非本专业的</w:t>
            </w:r>
            <w:r>
              <w:rPr>
                <w:rFonts w:hint="eastAsia"/>
                <w:color w:val="000000"/>
                <w:kern w:val="0"/>
                <w:szCs w:val="21"/>
              </w:rPr>
              <w:t>竞赛</w:t>
            </w:r>
            <w:r>
              <w:rPr>
                <w:rFonts w:hint="eastAsia"/>
                <w:color w:val="000000"/>
                <w:kern w:val="0"/>
                <w:szCs w:val="21"/>
                <w:lang w:eastAsia="zh-CN"/>
              </w:rPr>
              <w:t>项目计分按</w:t>
            </w:r>
            <w:r>
              <w:rPr>
                <w:rFonts w:hint="eastAsia"/>
                <w:color w:val="000000"/>
                <w:kern w:val="0"/>
                <w:szCs w:val="21"/>
                <w:lang w:val="en-US" w:eastAsia="zh-CN"/>
              </w:rPr>
              <w:t>50%计算。</w:t>
            </w:r>
            <w:bookmarkEnd w:id="0"/>
          </w:p>
        </w:tc>
      </w:tr>
    </w:tbl>
    <w:p>
      <w:pPr>
        <w:widowControl/>
        <w:spacing w:line="440" w:lineRule="exact"/>
        <w:jc w:val="left"/>
        <w:rPr>
          <w:rFonts w:ascii="宋体" w:hAnsi="宋体" w:cs="宋体"/>
          <w:b/>
          <w:kern w:val="0"/>
          <w:sz w:val="24"/>
        </w:rPr>
      </w:pPr>
    </w:p>
    <w:p>
      <w:pPr>
        <w:widowControl/>
        <w:spacing w:line="440" w:lineRule="exact"/>
        <w:ind w:firstLine="570"/>
        <w:jc w:val="left"/>
        <w:rPr>
          <w:rFonts w:ascii="宋体" w:hAnsi="宋体" w:cs="宋体"/>
          <w:b/>
          <w:kern w:val="0"/>
          <w:sz w:val="24"/>
        </w:rPr>
      </w:pPr>
      <w:r>
        <w:rPr>
          <w:rFonts w:hint="eastAsia" w:ascii="宋体" w:hAnsi="宋体" w:cs="宋体"/>
          <w:b/>
          <w:kern w:val="0"/>
          <w:sz w:val="24"/>
        </w:rPr>
        <w:t>五、推荐工作日程安排</w:t>
      </w:r>
    </w:p>
    <w:p>
      <w:pPr>
        <w:widowControl/>
        <w:spacing w:line="440" w:lineRule="exact"/>
        <w:ind w:firstLine="480" w:firstLineChars="200"/>
        <w:rPr>
          <w:rFonts w:ascii="宋体" w:hAnsi="宋体" w:cs="宋体"/>
          <w:kern w:val="0"/>
          <w:sz w:val="24"/>
        </w:rPr>
      </w:pPr>
      <w:r>
        <w:rPr>
          <w:rFonts w:ascii="宋体" w:hAnsi="宋体" w:cs="宋体"/>
          <w:kern w:val="0"/>
          <w:sz w:val="24"/>
        </w:rPr>
        <w:t>9月</w:t>
      </w:r>
      <w:r>
        <w:rPr>
          <w:rFonts w:hint="eastAsia" w:ascii="宋体" w:hAnsi="宋体" w:cs="宋体"/>
          <w:kern w:val="0"/>
          <w:sz w:val="24"/>
        </w:rPr>
        <w:t>14</w:t>
      </w:r>
      <w:r>
        <w:rPr>
          <w:rFonts w:ascii="宋体" w:hAnsi="宋体" w:cs="宋体"/>
          <w:kern w:val="0"/>
          <w:sz w:val="24"/>
        </w:rPr>
        <w:t>日</w:t>
      </w:r>
      <w:r>
        <w:rPr>
          <w:rFonts w:hint="eastAsia" w:ascii="宋体" w:hAnsi="宋体" w:cs="宋体"/>
          <w:kern w:val="0"/>
          <w:sz w:val="24"/>
        </w:rPr>
        <w:t>17：00</w:t>
      </w:r>
      <w:r>
        <w:rPr>
          <w:rFonts w:ascii="宋体" w:hAnsi="宋体" w:cs="宋体"/>
          <w:kern w:val="0"/>
          <w:sz w:val="24"/>
        </w:rPr>
        <w:t>前，申请人将《</w:t>
      </w:r>
      <w:r>
        <w:rPr>
          <w:rFonts w:hint="eastAsia" w:ascii="宋体" w:hAnsi="宋体" w:cs="宋体"/>
          <w:kern w:val="0"/>
          <w:sz w:val="24"/>
        </w:rPr>
        <w:t>武汉科技大学优秀本科毕业生免试攻读硕士研究生申请表</w:t>
      </w:r>
      <w:r>
        <w:rPr>
          <w:rFonts w:ascii="宋体" w:hAnsi="宋体" w:cs="宋体"/>
          <w:kern w:val="0"/>
          <w:sz w:val="24"/>
        </w:rPr>
        <w:t>》</w:t>
      </w:r>
      <w:r>
        <w:rPr>
          <w:rFonts w:hint="eastAsia" w:ascii="宋体" w:hAnsi="宋体" w:cs="宋体"/>
          <w:kern w:val="0"/>
          <w:sz w:val="24"/>
        </w:rPr>
        <w:t>、专业成绩单、英语等级证书及相关科研成果、竞赛奖励的</w:t>
      </w:r>
      <w:r>
        <w:rPr>
          <w:rFonts w:ascii="宋体" w:hAnsi="宋体" w:cs="宋体"/>
          <w:kern w:val="0"/>
          <w:sz w:val="24"/>
        </w:rPr>
        <w:t>原件和复印件</w:t>
      </w:r>
      <w:r>
        <w:rPr>
          <w:rFonts w:hint="eastAsia" w:ascii="宋体" w:hAnsi="宋体" w:cs="宋体"/>
          <w:kern w:val="0"/>
          <w:sz w:val="24"/>
        </w:rPr>
        <w:t>等支撑</w:t>
      </w:r>
      <w:r>
        <w:rPr>
          <w:rFonts w:ascii="宋体" w:hAnsi="宋体" w:cs="宋体"/>
          <w:kern w:val="0"/>
          <w:sz w:val="24"/>
        </w:rPr>
        <w:t>材料</w:t>
      </w:r>
      <w:r>
        <w:rPr>
          <w:rFonts w:hint="eastAsia" w:ascii="宋体" w:hAnsi="宋体" w:cs="宋体"/>
          <w:kern w:val="0"/>
          <w:sz w:val="24"/>
        </w:rPr>
        <w:t>交至学院5312给毕业年级辅导员，同时将《资环2022届本科毕业生免试攻读硕士学位研究生汇总表》电子版发至693760060@qq.com邮箱。</w:t>
      </w:r>
      <w:r>
        <w:rPr>
          <w:rFonts w:ascii="宋体" w:hAnsi="宋体"/>
          <w:sz w:val="24"/>
        </w:rPr>
        <w:t>逾期不报，视为自动放弃申报资格</w:t>
      </w:r>
      <w:r>
        <w:rPr>
          <w:rFonts w:hint="eastAsia" w:ascii="宋体" w:hAnsi="宋体" w:cs="宋体"/>
          <w:kern w:val="0"/>
          <w:sz w:val="24"/>
        </w:rPr>
        <w:t>。</w:t>
      </w:r>
    </w:p>
    <w:p>
      <w:pPr>
        <w:widowControl/>
        <w:spacing w:line="440" w:lineRule="exact"/>
        <w:ind w:firstLine="460" w:firstLineChars="192"/>
        <w:jc w:val="right"/>
        <w:rPr>
          <w:rFonts w:ascii="宋体" w:hAnsi="宋体" w:cs="宋体"/>
          <w:bCs/>
          <w:kern w:val="0"/>
          <w:sz w:val="24"/>
        </w:rPr>
      </w:pPr>
    </w:p>
    <w:p>
      <w:pPr>
        <w:widowControl/>
        <w:spacing w:line="440" w:lineRule="exact"/>
        <w:ind w:firstLine="460" w:firstLineChars="192"/>
        <w:jc w:val="right"/>
        <w:rPr>
          <w:rFonts w:ascii="宋体" w:hAnsi="宋体" w:cs="宋体"/>
          <w:bCs/>
          <w:kern w:val="0"/>
          <w:sz w:val="24"/>
        </w:rPr>
      </w:pPr>
    </w:p>
    <w:p>
      <w:pPr>
        <w:widowControl/>
        <w:spacing w:line="440" w:lineRule="exact"/>
        <w:ind w:firstLine="460" w:firstLineChars="192"/>
        <w:jc w:val="right"/>
        <w:rPr>
          <w:rFonts w:ascii="宋体" w:hAnsi="宋体" w:cs="宋体"/>
          <w:kern w:val="0"/>
          <w:sz w:val="24"/>
        </w:rPr>
      </w:pPr>
      <w:r>
        <w:rPr>
          <w:rFonts w:hint="eastAsia" w:ascii="宋体" w:hAnsi="宋体" w:cs="宋体"/>
          <w:kern w:val="0"/>
          <w:sz w:val="24"/>
        </w:rPr>
        <w:t>资源与环境工程学院</w:t>
      </w:r>
    </w:p>
    <w:p>
      <w:pPr>
        <w:widowControl/>
        <w:spacing w:line="440" w:lineRule="exact"/>
        <w:ind w:firstLine="460" w:firstLineChars="192"/>
        <w:jc w:val="right"/>
        <w:rPr>
          <w:kern w:val="0"/>
          <w:szCs w:val="21"/>
        </w:rPr>
      </w:pPr>
      <w:r>
        <w:rPr>
          <w:rFonts w:hint="eastAsia" w:ascii="宋体" w:hAnsi="宋体" w:cs="宋体"/>
          <w:kern w:val="0"/>
          <w:sz w:val="24"/>
        </w:rPr>
        <w:t>2021</w:t>
      </w:r>
      <w:r>
        <w:rPr>
          <w:rFonts w:ascii="宋体" w:hAnsi="宋体" w:cs="宋体"/>
          <w:kern w:val="0"/>
          <w:sz w:val="24"/>
        </w:rPr>
        <w:t>年</w:t>
      </w:r>
      <w:r>
        <w:rPr>
          <w:rFonts w:hint="eastAsia" w:ascii="宋体" w:hAnsi="宋体" w:cs="宋体"/>
          <w:kern w:val="0"/>
          <w:sz w:val="24"/>
        </w:rPr>
        <w:t>09</w:t>
      </w:r>
      <w:r>
        <w:rPr>
          <w:rFonts w:ascii="宋体" w:hAnsi="宋体" w:cs="宋体"/>
          <w:kern w:val="0"/>
          <w:sz w:val="24"/>
        </w:rPr>
        <w:t>月</w:t>
      </w:r>
      <w:r>
        <w:rPr>
          <w:rFonts w:hint="eastAsia" w:ascii="宋体" w:hAnsi="宋体" w:cs="宋体"/>
          <w:kern w:val="0"/>
          <w:sz w:val="24"/>
        </w:rPr>
        <w:t>13</w:t>
      </w:r>
      <w:r>
        <w:rPr>
          <w:rFonts w:ascii="宋体" w:hAnsi="宋体" w:cs="宋体"/>
          <w:kern w:val="0"/>
          <w:sz w:val="24"/>
        </w:rPr>
        <w:t>日</w:t>
      </w:r>
    </w:p>
    <w:p>
      <w:pPr>
        <w:widowControl/>
        <w:spacing w:line="400" w:lineRule="exact"/>
        <w:jc w:val="center"/>
        <w:rPr>
          <w:kern w:val="0"/>
          <w:szCs w:val="21"/>
        </w:rPr>
      </w:pPr>
    </w:p>
    <w:p>
      <w:pPr>
        <w:widowControl/>
        <w:spacing w:line="400" w:lineRule="exact"/>
        <w:jc w:val="center"/>
        <w:rPr>
          <w:kern w:val="0"/>
          <w:szCs w:val="21"/>
        </w:rPr>
      </w:pPr>
    </w:p>
    <w:p>
      <w:pPr>
        <w:widowControl/>
        <w:jc w:val="center"/>
        <w:rPr>
          <w:color w:val="000000"/>
          <w:kern w:val="0"/>
          <w:szCs w:val="21"/>
        </w:rPr>
      </w:pPr>
    </w:p>
    <w:sectPr>
      <w:headerReference r:id="rId3" w:type="default"/>
      <w:pgSz w:w="11906" w:h="16838"/>
      <w:pgMar w:top="1361" w:right="1304" w:bottom="1361" w:left="130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574BA0"/>
    <w:multiLevelType w:val="singleLevel"/>
    <w:tmpl w:val="EC574BA0"/>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TrackMoves/>
  <w:documentProtection w:enforcement="0"/>
  <w:defaultTabStop w:val="420"/>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2"/>
  </w:compat>
  <w:rsids>
    <w:rsidRoot w:val="008B6226"/>
    <w:rsid w:val="00512793"/>
    <w:rsid w:val="005C44D1"/>
    <w:rsid w:val="008831DE"/>
    <w:rsid w:val="008B6226"/>
    <w:rsid w:val="00B1406E"/>
    <w:rsid w:val="00FB5556"/>
    <w:rsid w:val="07C852EF"/>
    <w:rsid w:val="0F89540D"/>
    <w:rsid w:val="113A5555"/>
    <w:rsid w:val="168815D2"/>
    <w:rsid w:val="179E6F11"/>
    <w:rsid w:val="21AB3A39"/>
    <w:rsid w:val="2A496BF1"/>
    <w:rsid w:val="2CAB4455"/>
    <w:rsid w:val="2EEE5856"/>
    <w:rsid w:val="304A17EF"/>
    <w:rsid w:val="31E265DD"/>
    <w:rsid w:val="33CB2988"/>
    <w:rsid w:val="37A25E8B"/>
    <w:rsid w:val="394B557B"/>
    <w:rsid w:val="3BBB2B4F"/>
    <w:rsid w:val="4AC95573"/>
    <w:rsid w:val="4B383A2F"/>
    <w:rsid w:val="52F96FEE"/>
    <w:rsid w:val="603B7DF2"/>
    <w:rsid w:val="72C1283B"/>
    <w:rsid w:val="7E6D33A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99"/>
    <w:pPr>
      <w:ind w:left="100" w:leftChars="2500"/>
    </w:pPr>
  </w:style>
  <w:style w:type="paragraph" w:styleId="3">
    <w:name w:val="Balloon Text"/>
    <w:basedOn w:val="1"/>
    <w:link w:val="13"/>
    <w:qFormat/>
    <w:uiPriority w:val="99"/>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qFormat/>
    <w:uiPriority w:val="99"/>
    <w:rPr>
      <w:rFonts w:cs="Times New Roman"/>
      <w:b/>
      <w:bCs/>
    </w:rPr>
  </w:style>
  <w:style w:type="character" w:customStyle="1" w:styleId="10">
    <w:name w:val="日期 Char"/>
    <w:link w:val="2"/>
    <w:qFormat/>
    <w:uiPriority w:val="99"/>
    <w:rPr>
      <w:rFonts w:cs="Times New Roman"/>
      <w:sz w:val="24"/>
      <w:szCs w:val="24"/>
    </w:rPr>
  </w:style>
  <w:style w:type="character" w:customStyle="1" w:styleId="11">
    <w:name w:val="页眉 Char"/>
    <w:link w:val="5"/>
    <w:qFormat/>
    <w:uiPriority w:val="99"/>
    <w:rPr>
      <w:rFonts w:cs="Times New Roman"/>
      <w:sz w:val="18"/>
      <w:szCs w:val="18"/>
    </w:rPr>
  </w:style>
  <w:style w:type="character" w:customStyle="1" w:styleId="12">
    <w:name w:val="页脚 Char"/>
    <w:link w:val="4"/>
    <w:qFormat/>
    <w:uiPriority w:val="99"/>
    <w:rPr>
      <w:rFonts w:cs="Times New Roman"/>
      <w:sz w:val="18"/>
      <w:szCs w:val="18"/>
    </w:rPr>
  </w:style>
  <w:style w:type="character" w:customStyle="1" w:styleId="13">
    <w:name w:val="批注框文本 Char"/>
    <w:link w:val="3"/>
    <w:qFormat/>
    <w:uiPriority w:val="99"/>
    <w:rPr>
      <w:rFonts w:cs="Times New Roman"/>
      <w:sz w:val="2"/>
    </w:rPr>
  </w:style>
  <w:style w:type="paragraph" w:styleId="14">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化工学院</Company>
  <Pages>3</Pages>
  <Words>349</Words>
  <Characters>1994</Characters>
  <Lines>16</Lines>
  <Paragraphs>4</Paragraphs>
  <TotalTime>0</TotalTime>
  <ScaleCrop>false</ScaleCrop>
  <LinksUpToDate>false</LinksUpToDate>
  <CharactersWithSpaces>2339</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2016-09-18T03:08:00Z</dcterms:created>
  <dc:creator>化工学院</dc:creator>
  <cp:lastModifiedBy>Administrator</cp:lastModifiedBy>
  <cp:lastPrinted>2021-09-13T01:08:00Z</cp:lastPrinted>
  <dcterms:modified xsi:type="dcterms:W3CDTF">2021-09-13T09:35:47Z</dcterms:modified>
  <dc:title>化工学院2008届毕业生推免硕士研究生工作方案</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D61E3F0DD3B0431EAAF5BF2BE1D7A961</vt:lpwstr>
  </property>
</Properties>
</file>